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C8335" w14:textId="77777777" w:rsidR="00727911" w:rsidRPr="00E90B7C" w:rsidRDefault="00727911" w:rsidP="00727911">
      <w:pPr>
        <w:spacing w:after="0" w:line="276" w:lineRule="auto"/>
        <w:jc w:val="center"/>
        <w:rPr>
          <w:rFonts w:ascii="Gotham Book" w:eastAsia="Calibri" w:hAnsi="Gotham Book" w:cs="Arial"/>
          <w:b/>
          <w:color w:val="002060"/>
          <w:sz w:val="28"/>
          <w:szCs w:val="24"/>
        </w:rPr>
      </w:pPr>
      <w:bookmarkStart w:id="0" w:name="_Hlk23169253"/>
      <w:bookmarkEnd w:id="0"/>
      <w:r w:rsidRPr="00E90B7C">
        <w:rPr>
          <w:rFonts w:ascii="Gotham Book" w:eastAsia="Calibri" w:hAnsi="Gotham Book" w:cs="Arial"/>
          <w:b/>
          <w:color w:val="002060"/>
          <w:sz w:val="28"/>
          <w:szCs w:val="24"/>
        </w:rPr>
        <w:t>Weekly Market Brief</w:t>
      </w:r>
    </w:p>
    <w:p w14:paraId="50A2689C" w14:textId="4182A946" w:rsidR="00727911" w:rsidRPr="00E90B7C" w:rsidRDefault="00727911" w:rsidP="00727911">
      <w:pPr>
        <w:spacing w:after="0" w:line="276" w:lineRule="auto"/>
        <w:jc w:val="center"/>
        <w:rPr>
          <w:rFonts w:ascii="Gotham Book" w:eastAsia="Calibri" w:hAnsi="Gotham Book" w:cs="Arial"/>
          <w:i/>
          <w:sz w:val="24"/>
          <w:szCs w:val="24"/>
        </w:rPr>
      </w:pPr>
      <w:r w:rsidRPr="00E90B7C">
        <w:rPr>
          <w:rFonts w:ascii="Gotham Book" w:eastAsia="Calibri" w:hAnsi="Gotham Book" w:cs="Arial"/>
          <w:i/>
          <w:sz w:val="24"/>
          <w:szCs w:val="24"/>
        </w:rPr>
        <w:t xml:space="preserve">Week Ending </w:t>
      </w:r>
      <w:r w:rsidR="00FA3024" w:rsidRPr="00E90B7C">
        <w:rPr>
          <w:rFonts w:ascii="Gotham Book" w:eastAsia="Calibri" w:hAnsi="Gotham Book" w:cs="Arial"/>
          <w:i/>
          <w:sz w:val="24"/>
          <w:szCs w:val="24"/>
        </w:rPr>
        <w:t xml:space="preserve">April </w:t>
      </w:r>
      <w:r w:rsidR="00033188" w:rsidRPr="00E90B7C">
        <w:rPr>
          <w:rFonts w:ascii="Gotham Book" w:eastAsia="Calibri" w:hAnsi="Gotham Book" w:cs="Arial"/>
          <w:i/>
          <w:sz w:val="24"/>
          <w:szCs w:val="24"/>
        </w:rPr>
        <w:t>1</w:t>
      </w:r>
      <w:r w:rsidR="0003189F" w:rsidRPr="00E90B7C">
        <w:rPr>
          <w:rFonts w:ascii="Gotham Book" w:eastAsia="Calibri" w:hAnsi="Gotham Book" w:cs="Arial"/>
          <w:i/>
          <w:sz w:val="24"/>
          <w:szCs w:val="24"/>
        </w:rPr>
        <w:t>7</w:t>
      </w:r>
      <w:r w:rsidR="00033188" w:rsidRPr="00E90B7C">
        <w:rPr>
          <w:rFonts w:ascii="Gotham Book" w:eastAsia="Calibri" w:hAnsi="Gotham Book" w:cs="Arial"/>
          <w:i/>
          <w:sz w:val="24"/>
          <w:szCs w:val="24"/>
          <w:vertAlign w:val="superscript"/>
        </w:rPr>
        <w:t>th</w:t>
      </w:r>
      <w:r w:rsidR="00696F5B" w:rsidRPr="00E90B7C">
        <w:rPr>
          <w:rFonts w:ascii="Gotham Book" w:eastAsia="Calibri" w:hAnsi="Gotham Book" w:cs="Arial"/>
          <w:i/>
          <w:sz w:val="24"/>
          <w:szCs w:val="24"/>
        </w:rPr>
        <w:t>, 2020</w:t>
      </w:r>
    </w:p>
    <w:p w14:paraId="01941925" w14:textId="77777777" w:rsidR="00727911" w:rsidRPr="00E90B7C" w:rsidRDefault="00727911" w:rsidP="00727911">
      <w:pPr>
        <w:autoSpaceDE w:val="0"/>
        <w:autoSpaceDN w:val="0"/>
        <w:adjustRightInd w:val="0"/>
        <w:spacing w:after="0" w:line="276" w:lineRule="auto"/>
        <w:jc w:val="both"/>
        <w:rPr>
          <w:rFonts w:ascii="Gotham Book" w:eastAsia="Calibri" w:hAnsi="Gotham Book" w:cs="Arial"/>
          <w:b/>
          <w:color w:val="000000"/>
          <w:sz w:val="24"/>
          <w:szCs w:val="24"/>
        </w:rPr>
      </w:pPr>
    </w:p>
    <w:p w14:paraId="29954635" w14:textId="77777777" w:rsidR="00727911" w:rsidRPr="00E90B7C" w:rsidRDefault="00727911" w:rsidP="00727911">
      <w:pPr>
        <w:pStyle w:val="SectionHeading"/>
        <w:spacing w:line="276" w:lineRule="auto"/>
        <w:jc w:val="both"/>
        <w:rPr>
          <w:rFonts w:ascii="Gotham Book" w:hAnsi="Gotham Book" w:cs="Arial"/>
        </w:rPr>
      </w:pPr>
      <w:r w:rsidRPr="00E90B7C">
        <w:rPr>
          <w:rFonts w:ascii="Gotham Book" w:hAnsi="Gotham Book" w:cs="Arial"/>
        </w:rPr>
        <w:t>SAUDI ARABIAN MARKET</w:t>
      </w:r>
    </w:p>
    <w:p w14:paraId="5EB327B6" w14:textId="77777777" w:rsidR="00727911" w:rsidRPr="00E90B7C" w:rsidRDefault="00727911" w:rsidP="00727911">
      <w:pPr>
        <w:autoSpaceDE w:val="0"/>
        <w:autoSpaceDN w:val="0"/>
        <w:adjustRightInd w:val="0"/>
        <w:spacing w:after="0" w:line="276" w:lineRule="auto"/>
        <w:jc w:val="both"/>
        <w:rPr>
          <w:rFonts w:ascii="Gotham Book" w:eastAsia="Calibri" w:hAnsi="Gotham Book" w:cs="Arial"/>
          <w:b/>
          <w:color w:val="000000"/>
          <w:sz w:val="24"/>
          <w:szCs w:val="24"/>
        </w:rPr>
      </w:pPr>
    </w:p>
    <w:p w14:paraId="5DE61EBE" w14:textId="1DE228EC" w:rsidR="00F73A9D" w:rsidRPr="00E90B7C" w:rsidRDefault="00727911" w:rsidP="00F73A9D">
      <w:pPr>
        <w:pStyle w:val="Subheading"/>
        <w:spacing w:line="276" w:lineRule="auto"/>
        <w:jc w:val="both"/>
        <w:rPr>
          <w:rFonts w:ascii="Gotham Book" w:hAnsi="Gotham Book" w:cs="Arial"/>
        </w:rPr>
      </w:pPr>
      <w:r w:rsidRPr="00E90B7C">
        <w:rPr>
          <w:rFonts w:ascii="Gotham Book" w:hAnsi="Gotham Book" w:cs="Arial"/>
        </w:rPr>
        <w:t>Saudi Arabia Macroeconomic Development</w:t>
      </w:r>
      <w:r w:rsidR="00E91538" w:rsidRPr="00E90B7C">
        <w:rPr>
          <w:rFonts w:ascii="Gotham Book" w:hAnsi="Gotham Book" w:cs="Arial"/>
        </w:rPr>
        <w:t>s</w:t>
      </w:r>
    </w:p>
    <w:p w14:paraId="0848A128" w14:textId="77777777" w:rsidR="00F73A9D" w:rsidRPr="00E90B7C" w:rsidRDefault="00F73A9D" w:rsidP="00F73A9D">
      <w:pPr>
        <w:pStyle w:val="Subheading"/>
        <w:spacing w:line="276" w:lineRule="auto"/>
        <w:jc w:val="both"/>
        <w:rPr>
          <w:rFonts w:ascii="Arial" w:hAnsi="Arial" w:cs="Arial"/>
        </w:rPr>
      </w:pPr>
    </w:p>
    <w:p w14:paraId="2F314993" w14:textId="078EE973" w:rsidR="00267401" w:rsidRDefault="0057728A" w:rsidP="00267401">
      <w:pPr>
        <w:pStyle w:val="ListParagraph"/>
        <w:numPr>
          <w:ilvl w:val="0"/>
          <w:numId w:val="25"/>
        </w:numPr>
        <w:jc w:val="both"/>
        <w:rPr>
          <w:rFonts w:ascii="Arial" w:hAnsi="Arial" w:cs="Arial"/>
          <w:sz w:val="24"/>
          <w:szCs w:val="24"/>
        </w:rPr>
      </w:pPr>
      <w:r>
        <w:rPr>
          <w:rFonts w:ascii="Arial" w:hAnsi="Arial" w:cs="Arial"/>
          <w:sz w:val="24"/>
          <w:szCs w:val="24"/>
        </w:rPr>
        <w:t xml:space="preserve">Saudi Arabia approved a new SAR50 billion </w:t>
      </w:r>
      <w:r w:rsidR="00D67AE2">
        <w:rPr>
          <w:rFonts w:ascii="Arial" w:hAnsi="Arial" w:cs="Arial"/>
          <w:sz w:val="24"/>
          <w:szCs w:val="24"/>
        </w:rPr>
        <w:t xml:space="preserve">($13.3 billion) package to accelerate payment of private sector </w:t>
      </w:r>
      <w:r w:rsidR="006637CE">
        <w:rPr>
          <w:rFonts w:ascii="Arial" w:hAnsi="Arial" w:cs="Arial"/>
          <w:sz w:val="24"/>
          <w:szCs w:val="24"/>
        </w:rPr>
        <w:t xml:space="preserve">dues. </w:t>
      </w:r>
      <w:r w:rsidR="00D67AE2" w:rsidRPr="006637CE">
        <w:rPr>
          <w:rFonts w:ascii="Arial" w:hAnsi="Arial" w:cs="Arial"/>
          <w:sz w:val="24"/>
          <w:szCs w:val="24"/>
        </w:rPr>
        <w:t xml:space="preserve">The package also includes measures to discount utility costs for </w:t>
      </w:r>
      <w:r w:rsidR="006637CE">
        <w:rPr>
          <w:rFonts w:ascii="Arial" w:hAnsi="Arial" w:cs="Arial"/>
          <w:sz w:val="24"/>
          <w:szCs w:val="24"/>
        </w:rPr>
        <w:t xml:space="preserve">commercial, industrial, and agricultural </w:t>
      </w:r>
      <w:r w:rsidR="00D67AE2" w:rsidRPr="006637CE">
        <w:rPr>
          <w:rFonts w:ascii="Arial" w:hAnsi="Arial" w:cs="Arial"/>
          <w:sz w:val="24"/>
          <w:szCs w:val="24"/>
        </w:rPr>
        <w:t>companies</w:t>
      </w:r>
      <w:r w:rsidR="006637CE">
        <w:rPr>
          <w:rFonts w:ascii="Arial" w:hAnsi="Arial" w:cs="Arial"/>
          <w:sz w:val="24"/>
          <w:szCs w:val="24"/>
        </w:rPr>
        <w:t xml:space="preserve">. </w:t>
      </w:r>
      <w:r w:rsidR="00D67AE2" w:rsidRPr="006637CE">
        <w:rPr>
          <w:rFonts w:ascii="Arial" w:hAnsi="Arial" w:cs="Arial"/>
          <w:sz w:val="24"/>
          <w:szCs w:val="24"/>
        </w:rPr>
        <w:t xml:space="preserve">Additionally, the Kingdom allocated more than SAR 47 billion </w:t>
      </w:r>
      <w:r w:rsidR="006637CE">
        <w:rPr>
          <w:rFonts w:ascii="Arial" w:hAnsi="Arial" w:cs="Arial"/>
          <w:sz w:val="24"/>
          <w:szCs w:val="24"/>
        </w:rPr>
        <w:t xml:space="preserve">($12.5 billion) </w:t>
      </w:r>
      <w:r w:rsidR="00F50DFE">
        <w:rPr>
          <w:rFonts w:ascii="Arial" w:hAnsi="Arial" w:cs="Arial"/>
          <w:sz w:val="24"/>
          <w:szCs w:val="24"/>
        </w:rPr>
        <w:t xml:space="preserve">additional funding for </w:t>
      </w:r>
      <w:r w:rsidR="00D67AE2" w:rsidRPr="006637CE">
        <w:rPr>
          <w:rFonts w:ascii="Arial" w:hAnsi="Arial" w:cs="Arial"/>
          <w:sz w:val="24"/>
          <w:szCs w:val="24"/>
        </w:rPr>
        <w:t>the healthcare sector to provide beds, medications, artificial ventilation systems and other clinical trials</w:t>
      </w:r>
    </w:p>
    <w:p w14:paraId="4051CEAD" w14:textId="77777777" w:rsidR="00267401" w:rsidRPr="00267401" w:rsidRDefault="00267401" w:rsidP="00267401">
      <w:pPr>
        <w:pStyle w:val="ListParagraph"/>
        <w:jc w:val="both"/>
        <w:rPr>
          <w:rFonts w:ascii="Arial" w:hAnsi="Arial" w:cs="Arial"/>
          <w:sz w:val="24"/>
          <w:szCs w:val="24"/>
        </w:rPr>
      </w:pPr>
    </w:p>
    <w:p w14:paraId="537340DA" w14:textId="32DAE736" w:rsidR="000165A0" w:rsidRPr="00267401" w:rsidRDefault="00C94DED" w:rsidP="00267401">
      <w:pPr>
        <w:pStyle w:val="ListParagraph"/>
        <w:numPr>
          <w:ilvl w:val="0"/>
          <w:numId w:val="25"/>
        </w:numPr>
        <w:jc w:val="both"/>
        <w:rPr>
          <w:rFonts w:ascii="Arial" w:hAnsi="Arial" w:cs="Arial"/>
          <w:sz w:val="24"/>
          <w:szCs w:val="24"/>
        </w:rPr>
      </w:pPr>
      <w:r>
        <w:rPr>
          <w:rFonts w:ascii="Arial" w:hAnsi="Arial" w:cs="Arial"/>
          <w:sz w:val="24"/>
          <w:szCs w:val="24"/>
        </w:rPr>
        <w:t xml:space="preserve">The IMF projects Saudi Arabia’s GDP will contract 2.3 percent in 2020 and bounce back to 2.9 percent </w:t>
      </w:r>
      <w:r w:rsidR="00240A26">
        <w:rPr>
          <w:rFonts w:ascii="Arial" w:hAnsi="Arial" w:cs="Arial"/>
          <w:sz w:val="24"/>
          <w:szCs w:val="24"/>
        </w:rPr>
        <w:t xml:space="preserve">growth </w:t>
      </w:r>
      <w:r>
        <w:rPr>
          <w:rFonts w:ascii="Arial" w:hAnsi="Arial" w:cs="Arial"/>
          <w:sz w:val="24"/>
          <w:szCs w:val="24"/>
        </w:rPr>
        <w:t xml:space="preserve">in 2021. </w:t>
      </w:r>
      <w:r w:rsidR="00240A26">
        <w:rPr>
          <w:rFonts w:ascii="Arial" w:hAnsi="Arial" w:cs="Arial"/>
          <w:sz w:val="24"/>
          <w:szCs w:val="24"/>
        </w:rPr>
        <w:t xml:space="preserve">This year, Saudi Arabia’s economy is projected to decline less than the MENA average of 3.3 percent but </w:t>
      </w:r>
      <w:r w:rsidR="00F02C13">
        <w:rPr>
          <w:rFonts w:ascii="Arial" w:hAnsi="Arial" w:cs="Arial"/>
          <w:sz w:val="24"/>
          <w:szCs w:val="24"/>
        </w:rPr>
        <w:t>is expected to</w:t>
      </w:r>
      <w:r w:rsidR="00240A26">
        <w:rPr>
          <w:rFonts w:ascii="Arial" w:hAnsi="Arial" w:cs="Arial"/>
          <w:sz w:val="24"/>
          <w:szCs w:val="24"/>
        </w:rPr>
        <w:t xml:space="preserve"> experience a 4 percent decline in non-oil sector GDP. </w:t>
      </w:r>
    </w:p>
    <w:p w14:paraId="214E49D5" w14:textId="77777777" w:rsidR="000165A0" w:rsidRPr="000165A0" w:rsidRDefault="000165A0" w:rsidP="000165A0">
      <w:pPr>
        <w:pStyle w:val="ListParagraph"/>
        <w:jc w:val="both"/>
        <w:rPr>
          <w:rFonts w:ascii="Arial" w:hAnsi="Arial" w:cs="Arial"/>
          <w:sz w:val="24"/>
          <w:szCs w:val="24"/>
        </w:rPr>
      </w:pPr>
    </w:p>
    <w:p w14:paraId="47479990" w14:textId="6861BA2E" w:rsidR="005F73AA" w:rsidRDefault="00C3326B" w:rsidP="00267401">
      <w:pPr>
        <w:pStyle w:val="ListParagraph"/>
        <w:numPr>
          <w:ilvl w:val="0"/>
          <w:numId w:val="25"/>
        </w:numPr>
        <w:jc w:val="both"/>
        <w:rPr>
          <w:rFonts w:ascii="Arial" w:hAnsi="Arial" w:cs="Arial"/>
          <w:sz w:val="24"/>
          <w:szCs w:val="24"/>
        </w:rPr>
      </w:pPr>
      <w:r>
        <w:rPr>
          <w:rFonts w:ascii="Arial" w:hAnsi="Arial" w:cs="Arial"/>
          <w:sz w:val="24"/>
          <w:szCs w:val="24"/>
        </w:rPr>
        <w:t>Global oil supply cuts agreed to by OPEC+ amount to 19.5 million barrels per day</w:t>
      </w:r>
      <w:r w:rsidR="00A635C4">
        <w:rPr>
          <w:rFonts w:ascii="Arial" w:hAnsi="Arial" w:cs="Arial"/>
          <w:sz w:val="24"/>
          <w:szCs w:val="24"/>
        </w:rPr>
        <w:t xml:space="preserve"> (mbpd)</w:t>
      </w:r>
      <w:r>
        <w:rPr>
          <w:rFonts w:ascii="Arial" w:hAnsi="Arial" w:cs="Arial"/>
          <w:sz w:val="24"/>
          <w:szCs w:val="24"/>
        </w:rPr>
        <w:t xml:space="preserve"> including supplementary pledges by Saudi Arabia and other G20 nations to make further cuts and oil purchases of reserves according to the Ministry of Energy. The figure more than doubles last week’s</w:t>
      </w:r>
      <w:r w:rsidR="00A635C4">
        <w:rPr>
          <w:rFonts w:ascii="Arial" w:hAnsi="Arial" w:cs="Arial"/>
          <w:sz w:val="24"/>
          <w:szCs w:val="24"/>
        </w:rPr>
        <w:t xml:space="preserve"> reported 9.7 mbpd</w:t>
      </w:r>
      <w:r w:rsidR="00874952">
        <w:rPr>
          <w:rFonts w:ascii="Arial" w:hAnsi="Arial" w:cs="Arial"/>
          <w:sz w:val="24"/>
          <w:szCs w:val="24"/>
        </w:rPr>
        <w:t xml:space="preserve"> </w:t>
      </w:r>
      <w:r w:rsidR="00E67E49">
        <w:rPr>
          <w:rFonts w:ascii="Arial" w:hAnsi="Arial" w:cs="Arial"/>
          <w:sz w:val="24"/>
          <w:szCs w:val="24"/>
        </w:rPr>
        <w:t xml:space="preserve">in oil </w:t>
      </w:r>
      <w:r w:rsidR="00874952">
        <w:rPr>
          <w:rFonts w:ascii="Arial" w:hAnsi="Arial" w:cs="Arial"/>
          <w:sz w:val="24"/>
          <w:szCs w:val="24"/>
        </w:rPr>
        <w:t xml:space="preserve">cuts. </w:t>
      </w:r>
    </w:p>
    <w:p w14:paraId="7B062AC8" w14:textId="77777777" w:rsidR="00267401" w:rsidRPr="00267401" w:rsidRDefault="00267401" w:rsidP="00267401">
      <w:pPr>
        <w:pStyle w:val="ListParagraph"/>
        <w:jc w:val="both"/>
        <w:rPr>
          <w:rFonts w:ascii="Arial" w:hAnsi="Arial" w:cs="Arial"/>
          <w:sz w:val="24"/>
          <w:szCs w:val="24"/>
        </w:rPr>
      </w:pPr>
    </w:p>
    <w:p w14:paraId="573A8506" w14:textId="109E8DE3" w:rsidR="00003517" w:rsidRPr="00003517" w:rsidRDefault="005F73AA" w:rsidP="00003517">
      <w:pPr>
        <w:pStyle w:val="ListParagraph"/>
        <w:numPr>
          <w:ilvl w:val="0"/>
          <w:numId w:val="25"/>
        </w:numPr>
        <w:jc w:val="both"/>
        <w:rPr>
          <w:rFonts w:ascii="Arial" w:hAnsi="Arial" w:cs="Arial"/>
          <w:sz w:val="24"/>
          <w:szCs w:val="24"/>
        </w:rPr>
      </w:pPr>
      <w:r>
        <w:rPr>
          <w:rFonts w:ascii="Arial" w:hAnsi="Arial" w:cs="Arial"/>
          <w:sz w:val="24"/>
          <w:szCs w:val="24"/>
        </w:rPr>
        <w:t xml:space="preserve">Saudi Arabia </w:t>
      </w:r>
      <w:r w:rsidR="00686CDF">
        <w:rPr>
          <w:rFonts w:ascii="Arial" w:hAnsi="Arial" w:cs="Arial"/>
          <w:sz w:val="24"/>
          <w:szCs w:val="24"/>
        </w:rPr>
        <w:t>raised</w:t>
      </w:r>
      <w:r>
        <w:rPr>
          <w:rFonts w:ascii="Arial" w:hAnsi="Arial" w:cs="Arial"/>
          <w:sz w:val="24"/>
          <w:szCs w:val="24"/>
        </w:rPr>
        <w:t xml:space="preserve"> SAR26.25 billion ($7 billion</w:t>
      </w:r>
      <w:r w:rsidR="00686CDF">
        <w:rPr>
          <w:rFonts w:ascii="Arial" w:hAnsi="Arial" w:cs="Arial"/>
          <w:sz w:val="24"/>
          <w:szCs w:val="24"/>
        </w:rPr>
        <w:t xml:space="preserve">) in a dollar-denominated bond sale to address funding shortfalls </w:t>
      </w:r>
      <w:r w:rsidR="00003517">
        <w:rPr>
          <w:rFonts w:ascii="Arial" w:hAnsi="Arial" w:cs="Arial"/>
          <w:sz w:val="24"/>
          <w:szCs w:val="24"/>
        </w:rPr>
        <w:t xml:space="preserve">caused by low oil prices and the ongoing pandemic. </w:t>
      </w:r>
      <w:r w:rsidR="00003517" w:rsidRPr="00003517">
        <w:rPr>
          <w:rFonts w:ascii="Arial" w:hAnsi="Arial" w:cs="Arial"/>
          <w:sz w:val="24"/>
          <w:szCs w:val="24"/>
        </w:rPr>
        <w:t xml:space="preserve">The Kingdom sold $2.5 billion in 5.5-year bonds, $1.5 billion </w:t>
      </w:r>
      <w:r w:rsidR="00085902">
        <w:rPr>
          <w:rFonts w:ascii="Arial" w:hAnsi="Arial" w:cs="Arial"/>
          <w:sz w:val="24"/>
          <w:szCs w:val="24"/>
        </w:rPr>
        <w:t>i</w:t>
      </w:r>
      <w:r w:rsidR="00003517" w:rsidRPr="00003517">
        <w:rPr>
          <w:rFonts w:ascii="Arial" w:hAnsi="Arial" w:cs="Arial"/>
          <w:sz w:val="24"/>
          <w:szCs w:val="24"/>
        </w:rPr>
        <w:t xml:space="preserve">n 10.5-year bonds, and $3 billion in 40-year bonds with yields of 2.94 percent, 3.34 percent, and 4.55 percent respectively. The deal was oversubscribed nearly 8:1. </w:t>
      </w:r>
    </w:p>
    <w:p w14:paraId="32D463EC" w14:textId="7B0E180F" w:rsidR="00003517" w:rsidRPr="005F73AA" w:rsidRDefault="00003517" w:rsidP="00003517">
      <w:pPr>
        <w:pStyle w:val="ListParagraph"/>
        <w:jc w:val="both"/>
        <w:rPr>
          <w:rFonts w:ascii="Arial" w:hAnsi="Arial" w:cs="Arial"/>
          <w:sz w:val="24"/>
          <w:szCs w:val="24"/>
        </w:rPr>
      </w:pPr>
    </w:p>
    <w:p w14:paraId="100921D6" w14:textId="06F20674" w:rsidR="00937F26" w:rsidRPr="00E90B7C" w:rsidRDefault="002D5761" w:rsidP="00E90B7C">
      <w:pPr>
        <w:spacing w:after="0" w:line="276" w:lineRule="auto"/>
        <w:rPr>
          <w:rFonts w:ascii="Gotham Book" w:eastAsia="Calibri" w:hAnsi="Gotham Book" w:cs="Arial"/>
          <w:b/>
          <w:color w:val="002060"/>
          <w:sz w:val="28"/>
          <w:szCs w:val="24"/>
        </w:rPr>
      </w:pPr>
      <w:r w:rsidRPr="00E90B7C">
        <w:rPr>
          <w:rFonts w:ascii="Gotham Book" w:eastAsia="Calibri" w:hAnsi="Gotham Book" w:cs="Arial"/>
          <w:b/>
          <w:color w:val="002060"/>
          <w:sz w:val="28"/>
          <w:szCs w:val="24"/>
        </w:rPr>
        <w:t xml:space="preserve">Tadawul </w:t>
      </w:r>
    </w:p>
    <w:p w14:paraId="5D8E8102" w14:textId="3D8503C5" w:rsidR="00181E82" w:rsidRDefault="00727911" w:rsidP="00E109DD">
      <w:pPr>
        <w:spacing w:after="0" w:line="276" w:lineRule="auto"/>
        <w:jc w:val="both"/>
        <w:rPr>
          <w:rFonts w:ascii="Arial" w:eastAsia="Calibri" w:hAnsi="Arial" w:cs="Arial"/>
          <w:sz w:val="24"/>
          <w:szCs w:val="24"/>
        </w:rPr>
      </w:pPr>
      <w:r w:rsidRPr="00E90B7C">
        <w:rPr>
          <w:rFonts w:ascii="Arial" w:eastAsia="Calibri" w:hAnsi="Arial" w:cs="Arial"/>
          <w:sz w:val="24"/>
          <w:szCs w:val="24"/>
        </w:rPr>
        <w:t xml:space="preserve">The TASI </w:t>
      </w:r>
      <w:r w:rsidR="00181E82">
        <w:rPr>
          <w:rFonts w:ascii="Arial" w:eastAsia="Calibri" w:hAnsi="Arial" w:cs="Arial"/>
          <w:sz w:val="24"/>
          <w:szCs w:val="24"/>
        </w:rPr>
        <w:t>fell</w:t>
      </w:r>
      <w:r w:rsidR="0092360A" w:rsidRPr="00E90B7C">
        <w:rPr>
          <w:rFonts w:ascii="Arial" w:eastAsia="Calibri" w:hAnsi="Arial" w:cs="Arial"/>
          <w:sz w:val="24"/>
          <w:szCs w:val="24"/>
        </w:rPr>
        <w:t xml:space="preserve"> </w:t>
      </w:r>
      <w:r w:rsidR="00181E82">
        <w:rPr>
          <w:rFonts w:ascii="Arial" w:eastAsia="Calibri" w:hAnsi="Arial" w:cs="Arial"/>
          <w:sz w:val="24"/>
          <w:szCs w:val="24"/>
        </w:rPr>
        <w:t xml:space="preserve">5.35 </w:t>
      </w:r>
      <w:r w:rsidR="008E4001" w:rsidRPr="00E90B7C">
        <w:rPr>
          <w:rFonts w:ascii="Arial" w:eastAsia="Calibri" w:hAnsi="Arial" w:cs="Arial"/>
          <w:sz w:val="24"/>
          <w:szCs w:val="24"/>
        </w:rPr>
        <w:t xml:space="preserve">percent to </w:t>
      </w:r>
      <w:r w:rsidR="00181E82">
        <w:rPr>
          <w:rFonts w:ascii="Arial" w:eastAsia="Calibri" w:hAnsi="Arial" w:cs="Arial"/>
          <w:sz w:val="24"/>
          <w:szCs w:val="24"/>
        </w:rPr>
        <w:t>6,631.69</w:t>
      </w:r>
      <w:r w:rsidR="009F6C7F" w:rsidRPr="00E90B7C">
        <w:rPr>
          <w:rFonts w:ascii="Arial" w:eastAsia="Calibri" w:hAnsi="Arial" w:cs="Arial"/>
          <w:sz w:val="24"/>
          <w:szCs w:val="24"/>
        </w:rPr>
        <w:t xml:space="preserve"> </w:t>
      </w:r>
      <w:r w:rsidR="008E4001" w:rsidRPr="00E90B7C">
        <w:rPr>
          <w:rFonts w:ascii="Arial" w:eastAsia="Calibri" w:hAnsi="Arial" w:cs="Arial"/>
          <w:sz w:val="24"/>
          <w:szCs w:val="24"/>
        </w:rPr>
        <w:t>point</w:t>
      </w:r>
      <w:r w:rsidR="00CE6AF0" w:rsidRPr="00E90B7C">
        <w:rPr>
          <w:rFonts w:ascii="Arial" w:eastAsia="Calibri" w:hAnsi="Arial" w:cs="Arial"/>
          <w:sz w:val="24"/>
          <w:szCs w:val="24"/>
        </w:rPr>
        <w:t>s</w:t>
      </w:r>
      <w:r w:rsidR="00181E82">
        <w:rPr>
          <w:rFonts w:ascii="Arial" w:eastAsia="Calibri" w:hAnsi="Arial" w:cs="Arial"/>
          <w:sz w:val="24"/>
          <w:szCs w:val="24"/>
        </w:rPr>
        <w:t>, ending three consecutive weeks of gains after the pandemic-related selloff in mid-March</w:t>
      </w:r>
      <w:r w:rsidR="00CE6AF0" w:rsidRPr="00E90B7C">
        <w:rPr>
          <w:rFonts w:ascii="Arial" w:eastAsia="Calibri" w:hAnsi="Arial" w:cs="Arial"/>
          <w:sz w:val="24"/>
          <w:szCs w:val="24"/>
        </w:rPr>
        <w:t>.</w:t>
      </w:r>
      <w:r w:rsidR="00181E82">
        <w:rPr>
          <w:rFonts w:ascii="Arial" w:eastAsia="Calibri" w:hAnsi="Arial" w:cs="Arial"/>
          <w:sz w:val="24"/>
          <w:szCs w:val="24"/>
        </w:rPr>
        <w:t xml:space="preserve"> Every sector except ‘Software &amp; Services’ </w:t>
      </w:r>
      <w:r w:rsidR="00181E82">
        <w:rPr>
          <w:rFonts w:ascii="Arial" w:eastAsia="Calibri" w:hAnsi="Arial" w:cs="Arial"/>
          <w:sz w:val="24"/>
          <w:szCs w:val="24"/>
        </w:rPr>
        <w:lastRenderedPageBreak/>
        <w:t xml:space="preserve">fell this week as Al Moammar Information Systems Co. led the index to a 9.66 percent gain. ‘Commercial &amp; Professional Services’ and ‘Banks’ saw the steepest losses of 6.98 percent and 6.87 percent respectively. </w:t>
      </w:r>
      <w:r w:rsidR="004F474B">
        <w:rPr>
          <w:rFonts w:ascii="Arial" w:eastAsia="Calibri" w:hAnsi="Arial" w:cs="Arial"/>
          <w:sz w:val="24"/>
          <w:szCs w:val="24"/>
        </w:rPr>
        <w:t>The MSCI Tadawul 30 Index lost 5.93 percent and ended at 918.93</w:t>
      </w:r>
      <w:r w:rsidR="0020602D">
        <w:rPr>
          <w:rFonts w:ascii="Arial" w:eastAsia="Calibri" w:hAnsi="Arial" w:cs="Arial"/>
          <w:sz w:val="24"/>
          <w:szCs w:val="24"/>
        </w:rPr>
        <w:t xml:space="preserve"> points</w:t>
      </w:r>
      <w:r w:rsidR="004F474B">
        <w:rPr>
          <w:rFonts w:ascii="Arial" w:eastAsia="Calibri" w:hAnsi="Arial" w:cs="Arial"/>
          <w:sz w:val="24"/>
          <w:szCs w:val="24"/>
        </w:rPr>
        <w:t xml:space="preserve">. </w:t>
      </w:r>
    </w:p>
    <w:p w14:paraId="0F10F7DB" w14:textId="7677399D" w:rsidR="00E610C9" w:rsidRPr="00E90B7C" w:rsidRDefault="00E610C9" w:rsidP="00E109DD">
      <w:pPr>
        <w:spacing w:after="0" w:line="276" w:lineRule="auto"/>
        <w:jc w:val="both"/>
        <w:rPr>
          <w:rFonts w:ascii="Arial" w:eastAsia="Calibri" w:hAnsi="Arial" w:cs="Arial"/>
          <w:sz w:val="24"/>
          <w:szCs w:val="24"/>
        </w:rPr>
      </w:pPr>
    </w:p>
    <w:p w14:paraId="2C1B5AB1" w14:textId="33708BEF" w:rsidR="00183AC7" w:rsidRPr="00E90B7C" w:rsidRDefault="00181E82" w:rsidP="00E109DD">
      <w:pPr>
        <w:spacing w:after="0" w:line="276" w:lineRule="auto"/>
        <w:jc w:val="both"/>
        <w:rPr>
          <w:rFonts w:ascii="Arial" w:eastAsia="Calibri" w:hAnsi="Arial" w:cs="Arial"/>
          <w:color w:val="000000" w:themeColor="text1"/>
          <w:sz w:val="24"/>
          <w:szCs w:val="24"/>
        </w:rPr>
      </w:pPr>
      <w:r>
        <w:rPr>
          <w:noProof/>
        </w:rPr>
        <w:drawing>
          <wp:inline distT="0" distB="0" distL="0" distR="0" wp14:anchorId="7FB531D4" wp14:editId="2122A158">
            <wp:extent cx="5943600" cy="3535045"/>
            <wp:effectExtent l="0" t="0" r="0" b="8255"/>
            <wp:docPr id="1" name="Chart 1">
              <a:extLst xmlns:a="http://schemas.openxmlformats.org/drawingml/2006/main">
                <a:ext uri="{FF2B5EF4-FFF2-40B4-BE49-F238E27FC236}">
                  <a16:creationId xmlns:a16="http://schemas.microsoft.com/office/drawing/2014/main" id="{38E22A4D-27A6-4E7B-AAE0-42D3BEBC7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41B227" w14:textId="5E62BA59" w:rsidR="00183AC7" w:rsidRDefault="00183AC7" w:rsidP="00E109DD">
      <w:pPr>
        <w:spacing w:after="0" w:line="276" w:lineRule="auto"/>
        <w:jc w:val="both"/>
        <w:rPr>
          <w:rFonts w:ascii="Arial" w:eastAsia="Calibri" w:hAnsi="Arial" w:cs="Arial"/>
          <w:color w:val="000000" w:themeColor="text1"/>
          <w:sz w:val="24"/>
          <w:szCs w:val="24"/>
        </w:rPr>
      </w:pPr>
    </w:p>
    <w:p w14:paraId="14E9069E" w14:textId="77777777" w:rsidR="005F78A9" w:rsidRPr="00E90B7C" w:rsidRDefault="005F78A9" w:rsidP="00E109DD">
      <w:pPr>
        <w:spacing w:after="0" w:line="276" w:lineRule="auto"/>
        <w:jc w:val="both"/>
        <w:rPr>
          <w:rFonts w:ascii="Arial" w:eastAsia="Calibri" w:hAnsi="Arial" w:cs="Arial"/>
          <w:color w:val="000000" w:themeColor="text1"/>
          <w:sz w:val="24"/>
          <w:szCs w:val="24"/>
        </w:rPr>
      </w:pPr>
    </w:p>
    <w:p w14:paraId="1BFED4E8" w14:textId="2C94C240" w:rsidR="002C334B" w:rsidRPr="00181E82" w:rsidRDefault="00727911" w:rsidP="00E109DD">
      <w:pPr>
        <w:spacing w:after="0" w:line="276" w:lineRule="auto"/>
        <w:jc w:val="both"/>
        <w:rPr>
          <w:rFonts w:ascii="Arial" w:eastAsia="Calibri" w:hAnsi="Arial" w:cs="Arial"/>
          <w:color w:val="000000" w:themeColor="text1"/>
          <w:sz w:val="24"/>
          <w:szCs w:val="24"/>
        </w:rPr>
      </w:pPr>
      <w:r w:rsidRPr="00E90B7C">
        <w:rPr>
          <w:rFonts w:ascii="Arial" w:eastAsia="Calibri" w:hAnsi="Arial" w:cs="Arial"/>
          <w:color w:val="000000" w:themeColor="text1"/>
          <w:sz w:val="24"/>
          <w:szCs w:val="24"/>
        </w:rPr>
        <w:t xml:space="preserve">The NOMU parallel </w:t>
      </w:r>
      <w:r w:rsidR="00B845E7" w:rsidRPr="00E90B7C">
        <w:rPr>
          <w:rFonts w:ascii="Arial" w:eastAsia="Calibri" w:hAnsi="Arial" w:cs="Arial"/>
          <w:color w:val="000000" w:themeColor="text1"/>
          <w:sz w:val="24"/>
          <w:szCs w:val="24"/>
        </w:rPr>
        <w:t xml:space="preserve">market </w:t>
      </w:r>
      <w:r w:rsidR="00C135AB" w:rsidRPr="00E90B7C">
        <w:rPr>
          <w:rFonts w:ascii="Arial" w:eastAsia="Calibri" w:hAnsi="Arial" w:cs="Arial"/>
          <w:color w:val="000000" w:themeColor="text1"/>
          <w:sz w:val="24"/>
          <w:szCs w:val="24"/>
        </w:rPr>
        <w:t>rose</w:t>
      </w:r>
      <w:r w:rsidR="00B845E7" w:rsidRPr="00E90B7C">
        <w:rPr>
          <w:rFonts w:ascii="Arial" w:eastAsia="Calibri" w:hAnsi="Arial" w:cs="Arial"/>
          <w:color w:val="000000" w:themeColor="text1"/>
          <w:sz w:val="24"/>
          <w:szCs w:val="24"/>
        </w:rPr>
        <w:t xml:space="preserve"> </w:t>
      </w:r>
      <w:r w:rsidR="004F474B">
        <w:rPr>
          <w:rFonts w:ascii="Arial" w:eastAsia="Calibri" w:hAnsi="Arial" w:cs="Arial"/>
          <w:color w:val="000000" w:themeColor="text1"/>
          <w:sz w:val="24"/>
          <w:szCs w:val="24"/>
        </w:rPr>
        <w:t>8.4</w:t>
      </w:r>
      <w:r w:rsidR="00C135AB" w:rsidRPr="00E90B7C">
        <w:rPr>
          <w:rFonts w:ascii="Arial" w:eastAsia="Calibri" w:hAnsi="Arial" w:cs="Arial"/>
          <w:color w:val="000000" w:themeColor="text1"/>
          <w:sz w:val="24"/>
          <w:szCs w:val="24"/>
        </w:rPr>
        <w:t xml:space="preserve"> </w:t>
      </w:r>
      <w:r w:rsidR="00B845E7" w:rsidRPr="00E90B7C">
        <w:rPr>
          <w:rFonts w:ascii="Arial" w:eastAsia="Calibri" w:hAnsi="Arial" w:cs="Arial"/>
          <w:color w:val="000000" w:themeColor="text1"/>
          <w:sz w:val="24"/>
          <w:szCs w:val="24"/>
        </w:rPr>
        <w:t xml:space="preserve">percent and ended at </w:t>
      </w:r>
      <w:r w:rsidR="004F474B">
        <w:rPr>
          <w:rFonts w:ascii="Arial" w:eastAsia="Calibri" w:hAnsi="Arial" w:cs="Arial"/>
          <w:color w:val="000000" w:themeColor="text1"/>
          <w:sz w:val="24"/>
          <w:szCs w:val="24"/>
        </w:rPr>
        <w:t>6,660.92</w:t>
      </w:r>
      <w:r w:rsidR="00C135AB" w:rsidRPr="00E90B7C">
        <w:rPr>
          <w:rFonts w:ascii="Arial" w:eastAsia="Calibri" w:hAnsi="Arial" w:cs="Arial"/>
          <w:color w:val="000000" w:themeColor="text1"/>
          <w:sz w:val="24"/>
          <w:szCs w:val="24"/>
        </w:rPr>
        <w:t xml:space="preserve"> </w:t>
      </w:r>
      <w:r w:rsidR="00B845E7" w:rsidRPr="00E90B7C">
        <w:rPr>
          <w:rFonts w:ascii="Arial" w:eastAsia="Calibri" w:hAnsi="Arial" w:cs="Arial"/>
          <w:color w:val="000000" w:themeColor="text1"/>
          <w:sz w:val="24"/>
          <w:szCs w:val="24"/>
        </w:rPr>
        <w:t>points.</w:t>
      </w:r>
      <w:r w:rsidR="00A17BBB" w:rsidRPr="00E90B7C">
        <w:rPr>
          <w:rFonts w:ascii="Arial" w:eastAsia="Calibri" w:hAnsi="Arial" w:cs="Arial"/>
          <w:color w:val="000000" w:themeColor="text1"/>
          <w:sz w:val="24"/>
          <w:szCs w:val="24"/>
        </w:rPr>
        <w:t xml:space="preserve"> </w:t>
      </w:r>
    </w:p>
    <w:p w14:paraId="417150A5" w14:textId="5C7DB670" w:rsidR="00E90B7C" w:rsidRDefault="00E90B7C" w:rsidP="00E109DD">
      <w:pPr>
        <w:spacing w:after="0" w:line="276" w:lineRule="auto"/>
        <w:jc w:val="both"/>
        <w:rPr>
          <w:rFonts w:ascii="Arial" w:eastAsia="Calibri" w:hAnsi="Arial" w:cs="Arial"/>
          <w:sz w:val="24"/>
          <w:szCs w:val="24"/>
        </w:rPr>
      </w:pPr>
    </w:p>
    <w:p w14:paraId="5DCCD37B" w14:textId="15DA0C00" w:rsidR="00BA7BDE" w:rsidRDefault="00BA7BDE" w:rsidP="00E109DD">
      <w:pPr>
        <w:spacing w:after="0" w:line="276" w:lineRule="auto"/>
        <w:jc w:val="both"/>
        <w:rPr>
          <w:rFonts w:ascii="Arial" w:eastAsia="Calibri" w:hAnsi="Arial" w:cs="Arial"/>
          <w:sz w:val="24"/>
          <w:szCs w:val="24"/>
        </w:rPr>
      </w:pPr>
    </w:p>
    <w:p w14:paraId="1F48A645" w14:textId="32EE8458" w:rsidR="00BA7BDE" w:rsidRDefault="00BA7BDE" w:rsidP="00E109DD">
      <w:pPr>
        <w:spacing w:after="0" w:line="276" w:lineRule="auto"/>
        <w:jc w:val="both"/>
        <w:rPr>
          <w:rFonts w:ascii="Arial" w:eastAsia="Calibri" w:hAnsi="Arial" w:cs="Arial"/>
          <w:sz w:val="24"/>
          <w:szCs w:val="24"/>
        </w:rPr>
      </w:pPr>
    </w:p>
    <w:p w14:paraId="0357ED67" w14:textId="5F3B3C31" w:rsidR="0020602D" w:rsidRDefault="0020602D" w:rsidP="00E109DD">
      <w:pPr>
        <w:spacing w:after="0" w:line="276" w:lineRule="auto"/>
        <w:jc w:val="both"/>
        <w:rPr>
          <w:rFonts w:ascii="Arial" w:eastAsia="Calibri" w:hAnsi="Arial" w:cs="Arial"/>
          <w:sz w:val="24"/>
          <w:szCs w:val="24"/>
        </w:rPr>
      </w:pPr>
    </w:p>
    <w:p w14:paraId="7E811158" w14:textId="77777777" w:rsidR="0020602D" w:rsidRDefault="0020602D" w:rsidP="00E109DD">
      <w:pPr>
        <w:spacing w:after="0" w:line="276" w:lineRule="auto"/>
        <w:jc w:val="both"/>
        <w:rPr>
          <w:rFonts w:ascii="Arial" w:eastAsia="Calibri" w:hAnsi="Arial" w:cs="Arial"/>
          <w:sz w:val="24"/>
          <w:szCs w:val="24"/>
        </w:rPr>
      </w:pPr>
    </w:p>
    <w:p w14:paraId="6EE46C81" w14:textId="4C238706" w:rsidR="00BA7BDE" w:rsidRDefault="00BA7BDE" w:rsidP="00E109DD">
      <w:pPr>
        <w:spacing w:after="0" w:line="276" w:lineRule="auto"/>
        <w:jc w:val="both"/>
        <w:rPr>
          <w:rFonts w:ascii="Arial" w:eastAsia="Calibri" w:hAnsi="Arial" w:cs="Arial"/>
          <w:sz w:val="24"/>
          <w:szCs w:val="24"/>
        </w:rPr>
      </w:pPr>
    </w:p>
    <w:p w14:paraId="09FFDC41" w14:textId="77777777" w:rsidR="00BA7BDE" w:rsidRPr="00E90B7C" w:rsidRDefault="00BA7BDE" w:rsidP="00E109DD">
      <w:pPr>
        <w:spacing w:after="0" w:line="276" w:lineRule="auto"/>
        <w:jc w:val="both"/>
        <w:rPr>
          <w:rFonts w:ascii="Arial" w:eastAsia="Calibri" w:hAnsi="Arial" w:cs="Arial"/>
          <w:sz w:val="24"/>
          <w:szCs w:val="24"/>
        </w:rPr>
      </w:pPr>
    </w:p>
    <w:p w14:paraId="66CE7A86" w14:textId="77777777" w:rsidR="00CF3389" w:rsidRPr="00E90B7C" w:rsidRDefault="00CF3389" w:rsidP="00C035CE">
      <w:pPr>
        <w:pStyle w:val="Subheading"/>
        <w:spacing w:line="276" w:lineRule="auto"/>
        <w:jc w:val="both"/>
        <w:rPr>
          <w:rFonts w:ascii="Arial" w:hAnsi="Arial" w:cs="Arial"/>
        </w:rPr>
      </w:pPr>
    </w:p>
    <w:p w14:paraId="2B741EA7" w14:textId="028942A6" w:rsidR="00652128" w:rsidRPr="00E90B7C" w:rsidRDefault="00727911" w:rsidP="00C035CE">
      <w:pPr>
        <w:pStyle w:val="Subheading"/>
        <w:spacing w:line="276" w:lineRule="auto"/>
        <w:jc w:val="both"/>
        <w:rPr>
          <w:rFonts w:ascii="Gotham Book" w:hAnsi="Gotham Book" w:cs="Arial"/>
        </w:rPr>
      </w:pPr>
      <w:r w:rsidRPr="00E90B7C">
        <w:rPr>
          <w:rFonts w:ascii="Gotham Book" w:hAnsi="Gotham Book" w:cs="Arial"/>
        </w:rPr>
        <w:lastRenderedPageBreak/>
        <w:t>Investment and Trad</w:t>
      </w:r>
      <w:r w:rsidR="00E610C9" w:rsidRPr="00E90B7C">
        <w:rPr>
          <w:rFonts w:ascii="Gotham Book" w:hAnsi="Gotham Book" w:cs="Arial"/>
        </w:rPr>
        <w:t>e</w:t>
      </w:r>
    </w:p>
    <w:p w14:paraId="495A531D" w14:textId="77777777" w:rsidR="00311542" w:rsidRPr="00E90B7C" w:rsidRDefault="00311542" w:rsidP="00311542">
      <w:pPr>
        <w:pStyle w:val="Subheading"/>
        <w:spacing w:line="276" w:lineRule="auto"/>
        <w:ind w:left="720"/>
        <w:jc w:val="both"/>
        <w:rPr>
          <w:rFonts w:ascii="Arial" w:hAnsi="Arial" w:cs="Arial"/>
        </w:rPr>
      </w:pPr>
    </w:p>
    <w:p w14:paraId="085498A4" w14:textId="31DFF5B7" w:rsidR="000C78B7" w:rsidRPr="00E90B7C" w:rsidRDefault="009510E1" w:rsidP="00B560B1">
      <w:pPr>
        <w:pStyle w:val="Subheading"/>
        <w:numPr>
          <w:ilvl w:val="0"/>
          <w:numId w:val="28"/>
        </w:numPr>
        <w:jc w:val="both"/>
        <w:rPr>
          <w:rFonts w:ascii="Arial" w:hAnsi="Arial" w:cs="Arial"/>
          <w:b w:val="0"/>
        </w:rPr>
      </w:pPr>
      <w:r w:rsidRPr="00E90B7C">
        <w:rPr>
          <w:rFonts w:ascii="Arial" w:hAnsi="Arial" w:cs="Arial"/>
          <w:b w:val="0"/>
        </w:rPr>
        <w:t>Saudi Ports Authority (MAWANI) and Saudi Global Ports (SGP) signed a</w:t>
      </w:r>
      <w:r w:rsidR="00FE527F">
        <w:rPr>
          <w:rFonts w:ascii="Arial" w:hAnsi="Arial" w:cs="Arial"/>
          <w:b w:val="0"/>
        </w:rPr>
        <w:t xml:space="preserve"> 30-year </w:t>
      </w:r>
      <w:r w:rsidRPr="00E90B7C">
        <w:rPr>
          <w:rFonts w:ascii="Arial" w:hAnsi="Arial" w:cs="Arial"/>
          <w:b w:val="0"/>
        </w:rPr>
        <w:t>agreement worth S</w:t>
      </w:r>
      <w:r w:rsidR="00FE527F">
        <w:rPr>
          <w:rFonts w:ascii="Arial" w:hAnsi="Arial" w:cs="Arial"/>
          <w:b w:val="0"/>
        </w:rPr>
        <w:t>A</w:t>
      </w:r>
      <w:r w:rsidRPr="00E90B7C">
        <w:rPr>
          <w:rFonts w:ascii="Arial" w:hAnsi="Arial" w:cs="Arial"/>
          <w:b w:val="0"/>
        </w:rPr>
        <w:t>R</w:t>
      </w:r>
      <w:r w:rsidR="00FE527F">
        <w:rPr>
          <w:rFonts w:ascii="Arial" w:hAnsi="Arial" w:cs="Arial"/>
          <w:b w:val="0"/>
        </w:rPr>
        <w:t xml:space="preserve"> </w:t>
      </w:r>
      <w:r w:rsidRPr="00E90B7C">
        <w:rPr>
          <w:rFonts w:ascii="Arial" w:hAnsi="Arial" w:cs="Arial"/>
          <w:b w:val="0"/>
        </w:rPr>
        <w:t xml:space="preserve">7 billion </w:t>
      </w:r>
      <w:r w:rsidR="00FE527F">
        <w:rPr>
          <w:rFonts w:ascii="Arial" w:hAnsi="Arial" w:cs="Arial"/>
          <w:b w:val="0"/>
        </w:rPr>
        <w:t xml:space="preserve">($1.9 billion) to increase the capacity of King Abdul Aziz Port in Dammam by more than 120 percent to reach 7.5 million containers and add more than 4,000 jobs in the ports and logistics sectors. </w:t>
      </w:r>
    </w:p>
    <w:p w14:paraId="58D34C1B" w14:textId="34F36AC9" w:rsidR="000C78B7" w:rsidRDefault="000C78B7" w:rsidP="00B72B36">
      <w:pPr>
        <w:pStyle w:val="Subheading"/>
        <w:jc w:val="both"/>
        <w:rPr>
          <w:rFonts w:ascii="Arial" w:hAnsi="Arial" w:cs="Arial"/>
          <w:b w:val="0"/>
        </w:rPr>
      </w:pPr>
    </w:p>
    <w:p w14:paraId="79547E9A" w14:textId="6BE36EE8" w:rsidR="008B0688" w:rsidRPr="00E90B7C" w:rsidRDefault="008B0688" w:rsidP="00B560B1">
      <w:pPr>
        <w:pStyle w:val="Subheading"/>
        <w:numPr>
          <w:ilvl w:val="0"/>
          <w:numId w:val="28"/>
        </w:numPr>
        <w:jc w:val="both"/>
        <w:rPr>
          <w:rFonts w:ascii="Arial" w:hAnsi="Arial" w:cs="Arial"/>
          <w:b w:val="0"/>
        </w:rPr>
      </w:pPr>
      <w:r>
        <w:rPr>
          <w:rFonts w:ascii="Arial" w:hAnsi="Arial" w:cs="Arial"/>
          <w:b w:val="0"/>
        </w:rPr>
        <w:t>Saudi Arabia allocated SAR2 billion</w:t>
      </w:r>
      <w:r w:rsidR="00427950">
        <w:rPr>
          <w:rFonts w:ascii="Arial" w:hAnsi="Arial" w:cs="Arial"/>
          <w:b w:val="0"/>
        </w:rPr>
        <w:t xml:space="preserve"> ($533.3 million)</w:t>
      </w:r>
      <w:r>
        <w:rPr>
          <w:rFonts w:ascii="Arial" w:hAnsi="Arial" w:cs="Arial"/>
          <w:b w:val="0"/>
        </w:rPr>
        <w:t xml:space="preserve"> to import agricultural goods including rice, sugar, soya beans, and corn.</w:t>
      </w:r>
    </w:p>
    <w:p w14:paraId="6815ECFA" w14:textId="37B172BE" w:rsidR="001749BC" w:rsidRDefault="001749BC" w:rsidP="00B72B36">
      <w:pPr>
        <w:pStyle w:val="Subheading"/>
        <w:jc w:val="both"/>
        <w:rPr>
          <w:rFonts w:ascii="Arial" w:hAnsi="Arial" w:cs="Arial"/>
          <w:b w:val="0"/>
        </w:rPr>
      </w:pPr>
    </w:p>
    <w:p w14:paraId="3A8E42FA" w14:textId="2A7F0EC0" w:rsidR="00C52775" w:rsidRPr="003A6BAA" w:rsidRDefault="00BA7BDE" w:rsidP="00B72B36">
      <w:pPr>
        <w:pStyle w:val="Subheading"/>
        <w:numPr>
          <w:ilvl w:val="0"/>
          <w:numId w:val="28"/>
        </w:numPr>
        <w:jc w:val="both"/>
        <w:rPr>
          <w:rFonts w:ascii="Arial" w:hAnsi="Arial" w:cs="Arial"/>
          <w:b w:val="0"/>
        </w:rPr>
      </w:pPr>
      <w:r>
        <w:rPr>
          <w:rFonts w:ascii="Arial" w:hAnsi="Arial" w:cs="Arial"/>
          <w:b w:val="0"/>
        </w:rPr>
        <w:t>Mashroat signed two MoUs with the Ministry of Transport and the Saudi National Water Company</w:t>
      </w:r>
      <w:r w:rsidR="009D25F4">
        <w:rPr>
          <w:rFonts w:ascii="Arial" w:hAnsi="Arial" w:cs="Arial"/>
          <w:b w:val="0"/>
        </w:rPr>
        <w:t xml:space="preserve"> to standardize and codify construction, maintenance, and operations work </w:t>
      </w:r>
      <w:r w:rsidR="00300764">
        <w:rPr>
          <w:rFonts w:ascii="Arial" w:hAnsi="Arial" w:cs="Arial"/>
          <w:b w:val="0"/>
        </w:rPr>
        <w:t>across more than 400 contracts in the transportation and water sectors.</w:t>
      </w:r>
    </w:p>
    <w:p w14:paraId="2EFEB201" w14:textId="7BFF9D03" w:rsidR="00C52775" w:rsidRDefault="00C52775" w:rsidP="00B72B36">
      <w:pPr>
        <w:pStyle w:val="Subheading"/>
        <w:jc w:val="both"/>
        <w:rPr>
          <w:rFonts w:ascii="Arial" w:hAnsi="Arial" w:cs="Arial"/>
          <w:b w:val="0"/>
        </w:rPr>
      </w:pPr>
    </w:p>
    <w:p w14:paraId="738ECAAB" w14:textId="5E250DD4" w:rsidR="00C52775" w:rsidRDefault="00C52775" w:rsidP="00B560B1">
      <w:pPr>
        <w:pStyle w:val="Subheading"/>
        <w:numPr>
          <w:ilvl w:val="0"/>
          <w:numId w:val="28"/>
        </w:numPr>
        <w:jc w:val="both"/>
        <w:rPr>
          <w:rFonts w:ascii="Arial" w:hAnsi="Arial" w:cs="Arial"/>
          <w:b w:val="0"/>
        </w:rPr>
      </w:pPr>
      <w:r>
        <w:rPr>
          <w:rFonts w:ascii="Arial" w:hAnsi="Arial" w:cs="Arial"/>
          <w:b w:val="0"/>
        </w:rPr>
        <w:t>Saudi Arabia pledged SAR1.9 billion ($500 million) to international organizations combatting the COVID-19 pandemic, including $150 million each to the Coalition for Epidemic Preparedness and Innovation (CEPI) and the Global Alliance for Vaccines and Immunizations (GAVI).</w:t>
      </w:r>
    </w:p>
    <w:p w14:paraId="04798FA7" w14:textId="38834C3D" w:rsidR="00BA7BDE" w:rsidRDefault="00BA7BDE" w:rsidP="0063062F">
      <w:pPr>
        <w:pStyle w:val="Subheading"/>
        <w:rPr>
          <w:rFonts w:ascii="Arial" w:hAnsi="Arial" w:cs="Arial"/>
          <w:b w:val="0"/>
        </w:rPr>
      </w:pPr>
    </w:p>
    <w:p w14:paraId="20108FF6" w14:textId="77777777" w:rsidR="0020602D" w:rsidRPr="00E90B7C" w:rsidRDefault="0020602D" w:rsidP="0063062F">
      <w:pPr>
        <w:pStyle w:val="Subheading"/>
        <w:rPr>
          <w:rFonts w:ascii="Arial" w:hAnsi="Arial" w:cs="Arial"/>
          <w:b w:val="0"/>
        </w:rPr>
      </w:pPr>
    </w:p>
    <w:p w14:paraId="1AF3AE0E" w14:textId="77777777" w:rsidR="00727911" w:rsidRPr="00E90B7C" w:rsidRDefault="00727911" w:rsidP="00E90B7C">
      <w:pPr>
        <w:pStyle w:val="Subheading"/>
        <w:spacing w:line="276" w:lineRule="auto"/>
        <w:jc w:val="both"/>
        <w:rPr>
          <w:rFonts w:ascii="Gotham Book" w:hAnsi="Gotham Book" w:cs="Arial"/>
        </w:rPr>
      </w:pPr>
      <w:r w:rsidRPr="00E90B7C">
        <w:rPr>
          <w:rFonts w:ascii="Gotham Book" w:hAnsi="Gotham Book" w:cs="Arial"/>
        </w:rPr>
        <w:t>Banking</w:t>
      </w:r>
    </w:p>
    <w:p w14:paraId="1812C6D1" w14:textId="77777777" w:rsidR="00FE4BE4" w:rsidRPr="00E90B7C" w:rsidRDefault="00FE4BE4" w:rsidP="002D7687">
      <w:pPr>
        <w:autoSpaceDE w:val="0"/>
        <w:autoSpaceDN w:val="0"/>
        <w:adjustRightInd w:val="0"/>
        <w:spacing w:after="0" w:line="276" w:lineRule="auto"/>
        <w:jc w:val="both"/>
        <w:rPr>
          <w:rFonts w:ascii="Arial" w:eastAsia="Calibri" w:hAnsi="Arial" w:cs="Arial"/>
          <w:sz w:val="24"/>
          <w:szCs w:val="24"/>
        </w:rPr>
      </w:pPr>
    </w:p>
    <w:p w14:paraId="28670F93" w14:textId="6D41A16D" w:rsidR="00882C83" w:rsidRPr="00E90B7C" w:rsidRDefault="00727911" w:rsidP="00DE558F">
      <w:pPr>
        <w:autoSpaceDE w:val="0"/>
        <w:autoSpaceDN w:val="0"/>
        <w:adjustRightInd w:val="0"/>
        <w:spacing w:after="0" w:line="276" w:lineRule="auto"/>
        <w:jc w:val="both"/>
        <w:rPr>
          <w:rFonts w:ascii="Arial" w:eastAsia="Calibri" w:hAnsi="Arial" w:cs="Arial"/>
          <w:sz w:val="24"/>
          <w:szCs w:val="24"/>
        </w:rPr>
      </w:pPr>
      <w:r w:rsidRPr="00E90B7C">
        <w:rPr>
          <w:rFonts w:ascii="Arial" w:eastAsia="Calibri" w:hAnsi="Arial" w:cs="Arial"/>
          <w:sz w:val="24"/>
          <w:szCs w:val="24"/>
        </w:rPr>
        <w:t xml:space="preserve">Money Supply M1, M2, and M3 </w:t>
      </w:r>
      <w:r w:rsidR="00FE527F">
        <w:rPr>
          <w:rFonts w:ascii="Arial" w:eastAsia="Calibri" w:hAnsi="Arial" w:cs="Arial"/>
          <w:sz w:val="24"/>
          <w:szCs w:val="24"/>
        </w:rPr>
        <w:t>rose</w:t>
      </w:r>
      <w:r w:rsidRPr="00E90B7C">
        <w:rPr>
          <w:rFonts w:ascii="Arial" w:eastAsia="Calibri" w:hAnsi="Arial" w:cs="Arial"/>
          <w:sz w:val="24"/>
          <w:szCs w:val="24"/>
        </w:rPr>
        <w:t xml:space="preserve"> by </w:t>
      </w:r>
      <w:r w:rsidR="00950740" w:rsidRPr="00E90B7C">
        <w:rPr>
          <w:rFonts w:ascii="Arial" w:eastAsia="Calibri" w:hAnsi="Arial" w:cs="Arial"/>
          <w:sz w:val="24"/>
          <w:szCs w:val="24"/>
        </w:rPr>
        <w:t>1.</w:t>
      </w:r>
      <w:r w:rsidR="00FE527F">
        <w:rPr>
          <w:rFonts w:ascii="Arial" w:eastAsia="Calibri" w:hAnsi="Arial" w:cs="Arial"/>
          <w:sz w:val="24"/>
          <w:szCs w:val="24"/>
        </w:rPr>
        <w:t>18</w:t>
      </w:r>
      <w:r w:rsidR="00DA50F8" w:rsidRPr="00E90B7C">
        <w:rPr>
          <w:rFonts w:ascii="Arial" w:eastAsia="Calibri" w:hAnsi="Arial" w:cs="Arial"/>
          <w:sz w:val="24"/>
          <w:szCs w:val="24"/>
        </w:rPr>
        <w:t xml:space="preserve">, </w:t>
      </w:r>
      <w:r w:rsidR="00FE527F">
        <w:rPr>
          <w:rFonts w:ascii="Arial" w:eastAsia="Calibri" w:hAnsi="Arial" w:cs="Arial"/>
          <w:sz w:val="24"/>
          <w:szCs w:val="24"/>
        </w:rPr>
        <w:t>0.37</w:t>
      </w:r>
      <w:r w:rsidR="00DA50F8" w:rsidRPr="00E90B7C">
        <w:rPr>
          <w:rFonts w:ascii="Arial" w:eastAsia="Calibri" w:hAnsi="Arial" w:cs="Arial"/>
          <w:sz w:val="24"/>
          <w:szCs w:val="24"/>
        </w:rPr>
        <w:t>, and</w:t>
      </w:r>
      <w:r w:rsidR="00FE527F">
        <w:rPr>
          <w:rFonts w:ascii="Arial" w:eastAsia="Calibri" w:hAnsi="Arial" w:cs="Arial"/>
          <w:sz w:val="24"/>
          <w:szCs w:val="24"/>
        </w:rPr>
        <w:t xml:space="preserve"> 0.29</w:t>
      </w:r>
      <w:r w:rsidR="00950740" w:rsidRPr="00E90B7C">
        <w:rPr>
          <w:rFonts w:ascii="Arial" w:eastAsia="Calibri" w:hAnsi="Arial" w:cs="Arial"/>
          <w:sz w:val="24"/>
          <w:szCs w:val="24"/>
        </w:rPr>
        <w:t xml:space="preserve"> </w:t>
      </w:r>
      <w:r w:rsidRPr="00E90B7C">
        <w:rPr>
          <w:rFonts w:ascii="Arial" w:eastAsia="Calibri" w:hAnsi="Arial" w:cs="Arial"/>
          <w:sz w:val="24"/>
          <w:szCs w:val="24"/>
        </w:rPr>
        <w:t>percent respective</w:t>
      </w:r>
      <w:r w:rsidR="00DE558F" w:rsidRPr="00E90B7C">
        <w:rPr>
          <w:rFonts w:ascii="Arial" w:eastAsia="Calibri" w:hAnsi="Arial" w:cs="Arial"/>
          <w:sz w:val="24"/>
          <w:szCs w:val="24"/>
        </w:rPr>
        <w:t>ly</w:t>
      </w:r>
      <w:r w:rsidR="00FE527F">
        <w:rPr>
          <w:rFonts w:ascii="Arial" w:eastAsia="Calibri" w:hAnsi="Arial" w:cs="Arial"/>
          <w:sz w:val="24"/>
          <w:szCs w:val="24"/>
        </w:rPr>
        <w:t>.</w:t>
      </w:r>
    </w:p>
    <w:p w14:paraId="4BF5B9C4" w14:textId="5411908B" w:rsidR="00571F59" w:rsidRPr="00E90B7C" w:rsidRDefault="00571F59" w:rsidP="003344DC">
      <w:pPr>
        <w:pStyle w:val="SectionHeading"/>
        <w:spacing w:line="276" w:lineRule="auto"/>
        <w:jc w:val="both"/>
        <w:rPr>
          <w:rFonts w:ascii="Arial" w:hAnsi="Arial" w:cs="Arial"/>
        </w:rPr>
      </w:pPr>
    </w:p>
    <w:p w14:paraId="1B71139C" w14:textId="3E771BE0" w:rsidR="000B459F" w:rsidRPr="00E90B7C" w:rsidRDefault="000B459F" w:rsidP="003344DC">
      <w:pPr>
        <w:pStyle w:val="SectionHeading"/>
        <w:spacing w:line="276" w:lineRule="auto"/>
        <w:jc w:val="both"/>
        <w:rPr>
          <w:rFonts w:ascii="Arial" w:hAnsi="Arial" w:cs="Arial"/>
        </w:rPr>
      </w:pPr>
    </w:p>
    <w:p w14:paraId="7A75478D" w14:textId="0046D61A" w:rsidR="004006F9" w:rsidRPr="00E90B7C" w:rsidRDefault="004006F9" w:rsidP="003344DC">
      <w:pPr>
        <w:pStyle w:val="SectionHeading"/>
        <w:spacing w:line="276" w:lineRule="auto"/>
        <w:jc w:val="both"/>
        <w:rPr>
          <w:rFonts w:ascii="Arial" w:hAnsi="Arial" w:cs="Arial"/>
        </w:rPr>
      </w:pPr>
    </w:p>
    <w:p w14:paraId="08365003" w14:textId="6765B822" w:rsidR="00CF3389" w:rsidRDefault="00CF3389" w:rsidP="003344DC">
      <w:pPr>
        <w:pStyle w:val="SectionHeading"/>
        <w:spacing w:line="276" w:lineRule="auto"/>
        <w:jc w:val="both"/>
        <w:rPr>
          <w:rFonts w:ascii="Arial" w:hAnsi="Arial" w:cs="Arial"/>
        </w:rPr>
      </w:pPr>
    </w:p>
    <w:p w14:paraId="2916D89F" w14:textId="366F9501" w:rsidR="003A6BAA" w:rsidRDefault="003A6BAA" w:rsidP="003344DC">
      <w:pPr>
        <w:pStyle w:val="SectionHeading"/>
        <w:spacing w:line="276" w:lineRule="auto"/>
        <w:jc w:val="both"/>
        <w:rPr>
          <w:rFonts w:ascii="Arial" w:hAnsi="Arial" w:cs="Arial"/>
        </w:rPr>
      </w:pPr>
    </w:p>
    <w:p w14:paraId="71B40986" w14:textId="22DE426E" w:rsidR="0020602D" w:rsidRDefault="0020602D" w:rsidP="003344DC">
      <w:pPr>
        <w:pStyle w:val="SectionHeading"/>
        <w:spacing w:line="276" w:lineRule="auto"/>
        <w:jc w:val="both"/>
        <w:rPr>
          <w:rFonts w:ascii="Arial" w:hAnsi="Arial" w:cs="Arial"/>
        </w:rPr>
      </w:pPr>
    </w:p>
    <w:p w14:paraId="43A74D67" w14:textId="04514149" w:rsidR="0020602D" w:rsidRDefault="0020602D" w:rsidP="003344DC">
      <w:pPr>
        <w:pStyle w:val="SectionHeading"/>
        <w:spacing w:line="276" w:lineRule="auto"/>
        <w:jc w:val="both"/>
        <w:rPr>
          <w:rFonts w:ascii="Arial" w:hAnsi="Arial" w:cs="Arial"/>
        </w:rPr>
      </w:pPr>
    </w:p>
    <w:p w14:paraId="3C425155" w14:textId="5736EC1D" w:rsidR="0020602D" w:rsidRDefault="0020602D" w:rsidP="003344DC">
      <w:pPr>
        <w:pStyle w:val="SectionHeading"/>
        <w:spacing w:line="276" w:lineRule="auto"/>
        <w:jc w:val="both"/>
        <w:rPr>
          <w:rFonts w:ascii="Arial" w:hAnsi="Arial" w:cs="Arial"/>
        </w:rPr>
      </w:pPr>
    </w:p>
    <w:p w14:paraId="710D0440" w14:textId="77777777" w:rsidR="0020602D" w:rsidRDefault="0020602D" w:rsidP="003344DC">
      <w:pPr>
        <w:pStyle w:val="SectionHeading"/>
        <w:spacing w:line="276" w:lineRule="auto"/>
        <w:jc w:val="both"/>
        <w:rPr>
          <w:rFonts w:ascii="Arial" w:hAnsi="Arial" w:cs="Arial"/>
        </w:rPr>
      </w:pPr>
    </w:p>
    <w:p w14:paraId="2CA14F43" w14:textId="436A98AD" w:rsidR="003A6BAA" w:rsidRDefault="003A6BAA" w:rsidP="003344DC">
      <w:pPr>
        <w:pStyle w:val="SectionHeading"/>
        <w:spacing w:line="276" w:lineRule="auto"/>
        <w:jc w:val="both"/>
        <w:rPr>
          <w:rFonts w:ascii="Arial" w:hAnsi="Arial" w:cs="Arial"/>
        </w:rPr>
      </w:pPr>
    </w:p>
    <w:p w14:paraId="6B700ECB" w14:textId="44F47BCE" w:rsidR="003A6BAA" w:rsidRDefault="003A6BAA" w:rsidP="003344DC">
      <w:pPr>
        <w:pStyle w:val="SectionHeading"/>
        <w:spacing w:line="276" w:lineRule="auto"/>
        <w:jc w:val="both"/>
        <w:rPr>
          <w:rFonts w:ascii="Arial" w:hAnsi="Arial" w:cs="Arial"/>
        </w:rPr>
      </w:pPr>
    </w:p>
    <w:p w14:paraId="723E63A0" w14:textId="77777777" w:rsidR="003A6BAA" w:rsidRPr="00E90B7C" w:rsidRDefault="003A6BAA" w:rsidP="003344DC">
      <w:pPr>
        <w:pStyle w:val="SectionHeading"/>
        <w:spacing w:line="276" w:lineRule="auto"/>
        <w:jc w:val="both"/>
        <w:rPr>
          <w:rFonts w:ascii="Arial" w:hAnsi="Arial" w:cs="Arial"/>
        </w:rPr>
      </w:pPr>
    </w:p>
    <w:p w14:paraId="72BE9F48" w14:textId="1A3F4492" w:rsidR="00434E01" w:rsidRPr="00E90B7C" w:rsidRDefault="00727911" w:rsidP="003344DC">
      <w:pPr>
        <w:pStyle w:val="SectionHeading"/>
        <w:spacing w:line="276" w:lineRule="auto"/>
        <w:jc w:val="both"/>
        <w:rPr>
          <w:rFonts w:ascii="Gotham Book" w:hAnsi="Gotham Book" w:cs="Arial"/>
        </w:rPr>
      </w:pPr>
      <w:r w:rsidRPr="00E90B7C">
        <w:rPr>
          <w:rFonts w:ascii="Gotham Book" w:hAnsi="Gotham Book" w:cs="Arial"/>
        </w:rPr>
        <w:lastRenderedPageBreak/>
        <w:t>U.S. MARKE</w:t>
      </w:r>
      <w:r w:rsidR="003344DC" w:rsidRPr="00E90B7C">
        <w:rPr>
          <w:rFonts w:ascii="Gotham Book" w:hAnsi="Gotham Book" w:cs="Arial"/>
        </w:rPr>
        <w:t>TS</w:t>
      </w:r>
    </w:p>
    <w:p w14:paraId="6B4C4C5C" w14:textId="77777777" w:rsidR="00434E01" w:rsidRPr="00E90B7C" w:rsidRDefault="00434E01" w:rsidP="00727911">
      <w:pPr>
        <w:pStyle w:val="Subheading"/>
        <w:spacing w:line="276" w:lineRule="auto"/>
        <w:jc w:val="both"/>
        <w:rPr>
          <w:rFonts w:ascii="Gotham Book" w:hAnsi="Gotham Book" w:cs="Arial"/>
        </w:rPr>
      </w:pPr>
    </w:p>
    <w:p w14:paraId="59027C65" w14:textId="57B1C0E6" w:rsidR="00EF0ACD" w:rsidRPr="00E90B7C" w:rsidRDefault="00727911" w:rsidP="005E0CF7">
      <w:pPr>
        <w:pStyle w:val="Subheading"/>
        <w:spacing w:line="276" w:lineRule="auto"/>
        <w:jc w:val="both"/>
        <w:rPr>
          <w:rFonts w:ascii="Gotham Book" w:hAnsi="Gotham Book" w:cs="Arial"/>
        </w:rPr>
      </w:pPr>
      <w:r w:rsidRPr="00E90B7C">
        <w:rPr>
          <w:rFonts w:ascii="Gotham Book" w:hAnsi="Gotham Book" w:cs="Arial"/>
        </w:rPr>
        <w:t>U.S. Macroeconomic Developments</w:t>
      </w:r>
    </w:p>
    <w:p w14:paraId="5A87D8B1" w14:textId="77777777" w:rsidR="002E60A9" w:rsidRPr="00E90B7C" w:rsidRDefault="002E60A9" w:rsidP="00E517C7">
      <w:pPr>
        <w:spacing w:after="0" w:line="276" w:lineRule="auto"/>
        <w:jc w:val="both"/>
        <w:rPr>
          <w:rFonts w:ascii="Arial" w:eastAsia="Times New Roman" w:hAnsi="Arial" w:cs="Arial"/>
          <w:bCs/>
          <w:color w:val="000000"/>
          <w:sz w:val="24"/>
          <w:szCs w:val="24"/>
        </w:rPr>
      </w:pPr>
    </w:p>
    <w:p w14:paraId="53CFC81E" w14:textId="71D47200" w:rsidR="00814733" w:rsidRPr="003A6BAA" w:rsidRDefault="00C14F13" w:rsidP="003A6BAA">
      <w:pPr>
        <w:pStyle w:val="ListParagraph"/>
        <w:numPr>
          <w:ilvl w:val="0"/>
          <w:numId w:val="27"/>
        </w:numPr>
        <w:spacing w:after="0" w:line="276" w:lineRule="auto"/>
        <w:jc w:val="both"/>
        <w:rPr>
          <w:rFonts w:ascii="Arial" w:eastAsia="Times New Roman" w:hAnsi="Arial" w:cs="Arial"/>
          <w:color w:val="000000"/>
          <w:sz w:val="24"/>
          <w:szCs w:val="24"/>
        </w:rPr>
      </w:pPr>
      <w:r w:rsidRPr="00A17AFE">
        <w:rPr>
          <w:rFonts w:ascii="Arial" w:eastAsia="Times New Roman" w:hAnsi="Arial" w:cs="Arial"/>
          <w:color w:val="000000"/>
          <w:sz w:val="24"/>
          <w:szCs w:val="24"/>
        </w:rPr>
        <w:t>U</w:t>
      </w:r>
      <w:r w:rsidR="004F7CBD" w:rsidRPr="00A17AFE">
        <w:rPr>
          <w:rFonts w:ascii="Arial" w:eastAsia="Times New Roman" w:hAnsi="Arial" w:cs="Arial"/>
          <w:color w:val="000000"/>
          <w:sz w:val="24"/>
          <w:szCs w:val="24"/>
        </w:rPr>
        <w:t>.S. r</w:t>
      </w:r>
      <w:r w:rsidRPr="00A17AFE">
        <w:rPr>
          <w:rFonts w:ascii="Arial" w:eastAsia="Times New Roman" w:hAnsi="Arial" w:cs="Arial"/>
          <w:color w:val="000000"/>
          <w:sz w:val="24"/>
          <w:szCs w:val="24"/>
        </w:rPr>
        <w:t xml:space="preserve">etail sales </w:t>
      </w:r>
      <w:r w:rsidR="004F7CBD" w:rsidRPr="00A17AFE">
        <w:rPr>
          <w:rFonts w:ascii="Arial" w:eastAsia="Times New Roman" w:hAnsi="Arial" w:cs="Arial"/>
          <w:color w:val="000000"/>
          <w:sz w:val="24"/>
          <w:szCs w:val="24"/>
        </w:rPr>
        <w:t>fell</w:t>
      </w:r>
      <w:r w:rsidRPr="00A17AFE">
        <w:rPr>
          <w:rFonts w:ascii="Arial" w:eastAsia="Times New Roman" w:hAnsi="Arial" w:cs="Arial"/>
          <w:color w:val="000000"/>
          <w:sz w:val="24"/>
          <w:szCs w:val="24"/>
        </w:rPr>
        <w:t xml:space="preserve"> by </w:t>
      </w:r>
      <w:r w:rsidR="004F7CBD" w:rsidRPr="00A17AFE">
        <w:rPr>
          <w:rFonts w:ascii="Arial" w:eastAsia="Times New Roman" w:hAnsi="Arial" w:cs="Arial"/>
          <w:color w:val="000000"/>
          <w:sz w:val="24"/>
          <w:szCs w:val="24"/>
        </w:rPr>
        <w:t xml:space="preserve">a </w:t>
      </w:r>
      <w:r w:rsidRPr="00A17AFE">
        <w:rPr>
          <w:rFonts w:ascii="Arial" w:eastAsia="Times New Roman" w:hAnsi="Arial" w:cs="Arial"/>
          <w:color w:val="000000"/>
          <w:sz w:val="24"/>
          <w:szCs w:val="24"/>
        </w:rPr>
        <w:t>record 8.7 percent in March</w:t>
      </w:r>
      <w:r w:rsidR="004F7CBD" w:rsidRPr="00A17AFE">
        <w:rPr>
          <w:rFonts w:ascii="Arial" w:eastAsia="Times New Roman" w:hAnsi="Arial" w:cs="Arial"/>
          <w:color w:val="000000"/>
          <w:sz w:val="24"/>
          <w:szCs w:val="24"/>
        </w:rPr>
        <w:t>. For the first time on record, Americans spent more on groceries than any other category.</w:t>
      </w:r>
      <w:r w:rsidR="001D0791" w:rsidRPr="00A17AFE">
        <w:rPr>
          <w:rFonts w:ascii="Arial" w:eastAsia="Times New Roman" w:hAnsi="Arial" w:cs="Arial"/>
          <w:color w:val="000000"/>
          <w:sz w:val="24"/>
          <w:szCs w:val="24"/>
        </w:rPr>
        <w:t xml:space="preserve"> March’s reading was the worst monthly decline on record for auto dealers, restaurants, clothing and sport</w:t>
      </w:r>
      <w:r w:rsidR="003A6BAA">
        <w:rPr>
          <w:rFonts w:ascii="Arial" w:eastAsia="Times New Roman" w:hAnsi="Arial" w:cs="Arial"/>
          <w:color w:val="000000"/>
          <w:sz w:val="24"/>
          <w:szCs w:val="24"/>
        </w:rPr>
        <w:t xml:space="preserve">s </w:t>
      </w:r>
      <w:r w:rsidR="001D0791" w:rsidRPr="00A17AFE">
        <w:rPr>
          <w:rFonts w:ascii="Arial" w:eastAsia="Times New Roman" w:hAnsi="Arial" w:cs="Arial"/>
          <w:color w:val="000000"/>
          <w:sz w:val="24"/>
          <w:szCs w:val="24"/>
        </w:rPr>
        <w:t>goods retailers, and furniture store</w:t>
      </w:r>
      <w:r w:rsidR="003A6BAA">
        <w:rPr>
          <w:rFonts w:ascii="Arial" w:eastAsia="Times New Roman" w:hAnsi="Arial" w:cs="Arial"/>
          <w:color w:val="000000"/>
          <w:sz w:val="24"/>
          <w:szCs w:val="24"/>
        </w:rPr>
        <w:t>s.</w:t>
      </w:r>
      <w:r w:rsidR="001D0791" w:rsidRPr="00A17AFE">
        <w:rPr>
          <w:rFonts w:ascii="Arial" w:eastAsia="Times New Roman" w:hAnsi="Arial" w:cs="Arial"/>
          <w:color w:val="000000"/>
          <w:sz w:val="24"/>
          <w:szCs w:val="24"/>
        </w:rPr>
        <w:t xml:space="preserve"> </w:t>
      </w:r>
    </w:p>
    <w:p w14:paraId="6FF62878" w14:textId="517B6DC4" w:rsidR="00814733" w:rsidRDefault="00814733" w:rsidP="00814733">
      <w:pPr>
        <w:spacing w:after="0" w:line="276" w:lineRule="auto"/>
        <w:ind w:left="360"/>
        <w:jc w:val="both"/>
        <w:rPr>
          <w:rFonts w:ascii="Arial" w:eastAsia="Times New Roman" w:hAnsi="Arial" w:cs="Arial"/>
          <w:color w:val="000000"/>
          <w:sz w:val="24"/>
          <w:szCs w:val="24"/>
        </w:rPr>
      </w:pPr>
    </w:p>
    <w:p w14:paraId="0324C919" w14:textId="29A40232" w:rsidR="00814733" w:rsidRPr="00A17AFE" w:rsidRDefault="005B12D8" w:rsidP="00A17AFE">
      <w:pPr>
        <w:pStyle w:val="ListParagraph"/>
        <w:numPr>
          <w:ilvl w:val="0"/>
          <w:numId w:val="27"/>
        </w:numPr>
        <w:spacing w:after="0" w:line="276" w:lineRule="auto"/>
        <w:jc w:val="both"/>
        <w:rPr>
          <w:rFonts w:ascii="Arial" w:eastAsia="Times New Roman" w:hAnsi="Arial" w:cs="Arial"/>
          <w:color w:val="000000"/>
          <w:sz w:val="24"/>
          <w:szCs w:val="24"/>
        </w:rPr>
      </w:pPr>
      <w:r w:rsidRPr="00A17AFE">
        <w:rPr>
          <w:rFonts w:ascii="Arial" w:eastAsia="Times New Roman" w:hAnsi="Arial" w:cs="Arial"/>
          <w:color w:val="000000"/>
          <w:sz w:val="24"/>
          <w:szCs w:val="24"/>
        </w:rPr>
        <w:t xml:space="preserve">Industrial production </w:t>
      </w:r>
      <w:r w:rsidR="00A17AFE">
        <w:rPr>
          <w:rFonts w:ascii="Arial" w:eastAsia="Times New Roman" w:hAnsi="Arial" w:cs="Arial"/>
          <w:color w:val="000000"/>
          <w:sz w:val="24"/>
          <w:szCs w:val="24"/>
        </w:rPr>
        <w:t>fell</w:t>
      </w:r>
      <w:r w:rsidRPr="00A17AFE">
        <w:rPr>
          <w:rFonts w:ascii="Arial" w:eastAsia="Times New Roman" w:hAnsi="Arial" w:cs="Arial"/>
          <w:color w:val="000000"/>
          <w:sz w:val="24"/>
          <w:szCs w:val="24"/>
        </w:rPr>
        <w:t xml:space="preserve"> 5.4</w:t>
      </w:r>
      <w:r w:rsidR="00A17AFE">
        <w:rPr>
          <w:rFonts w:ascii="Arial" w:eastAsia="Times New Roman" w:hAnsi="Arial" w:cs="Arial"/>
          <w:color w:val="000000"/>
          <w:sz w:val="24"/>
          <w:szCs w:val="24"/>
        </w:rPr>
        <w:t xml:space="preserve"> percent</w:t>
      </w:r>
      <w:r w:rsidRPr="00A17AFE">
        <w:rPr>
          <w:rFonts w:ascii="Arial" w:eastAsia="Times New Roman" w:hAnsi="Arial" w:cs="Arial"/>
          <w:color w:val="000000"/>
          <w:sz w:val="24"/>
          <w:szCs w:val="24"/>
        </w:rPr>
        <w:t xml:space="preserve"> </w:t>
      </w:r>
      <w:r w:rsidR="00A46011">
        <w:rPr>
          <w:rFonts w:ascii="Arial" w:eastAsia="Times New Roman" w:hAnsi="Arial" w:cs="Arial"/>
          <w:color w:val="000000"/>
          <w:sz w:val="24"/>
          <w:szCs w:val="24"/>
        </w:rPr>
        <w:t xml:space="preserve">in March </w:t>
      </w:r>
      <w:r w:rsidRPr="00A17AFE">
        <w:rPr>
          <w:rFonts w:ascii="Arial" w:eastAsia="Times New Roman" w:hAnsi="Arial" w:cs="Arial"/>
          <w:color w:val="000000"/>
          <w:sz w:val="24"/>
          <w:szCs w:val="24"/>
        </w:rPr>
        <w:t xml:space="preserve">as factories and mines shut down amid </w:t>
      </w:r>
      <w:r w:rsidR="00A17AFE">
        <w:rPr>
          <w:rFonts w:ascii="Arial" w:eastAsia="Times New Roman" w:hAnsi="Arial" w:cs="Arial"/>
          <w:color w:val="000000"/>
          <w:sz w:val="24"/>
          <w:szCs w:val="24"/>
        </w:rPr>
        <w:t>pandemic-related</w:t>
      </w:r>
      <w:r w:rsidRPr="00A17AFE">
        <w:rPr>
          <w:rFonts w:ascii="Arial" w:eastAsia="Times New Roman" w:hAnsi="Arial" w:cs="Arial"/>
          <w:color w:val="000000"/>
          <w:sz w:val="24"/>
          <w:szCs w:val="24"/>
        </w:rPr>
        <w:t xml:space="preserve"> lockdowns. </w:t>
      </w:r>
      <w:r w:rsidR="005D6E24">
        <w:rPr>
          <w:rFonts w:ascii="Arial" w:eastAsia="Times New Roman" w:hAnsi="Arial" w:cs="Arial"/>
          <w:color w:val="000000"/>
          <w:sz w:val="24"/>
          <w:szCs w:val="24"/>
        </w:rPr>
        <w:t>The decline in industrial output is</w:t>
      </w:r>
      <w:r w:rsidR="00A17AFE">
        <w:rPr>
          <w:rFonts w:ascii="Arial" w:eastAsia="Times New Roman" w:hAnsi="Arial" w:cs="Arial"/>
          <w:color w:val="000000"/>
          <w:sz w:val="24"/>
          <w:szCs w:val="24"/>
        </w:rPr>
        <w:t xml:space="preserve"> unmatched since the post-WWII demobilization</w:t>
      </w:r>
      <w:r w:rsidR="004613A1">
        <w:rPr>
          <w:rFonts w:ascii="Arial" w:eastAsia="Times New Roman" w:hAnsi="Arial" w:cs="Arial"/>
          <w:color w:val="000000"/>
          <w:sz w:val="24"/>
          <w:szCs w:val="24"/>
        </w:rPr>
        <w:t xml:space="preserve"> in 1946</w:t>
      </w:r>
      <w:r w:rsidR="00A17AFE">
        <w:rPr>
          <w:rFonts w:ascii="Arial" w:eastAsia="Times New Roman" w:hAnsi="Arial" w:cs="Arial"/>
          <w:color w:val="000000"/>
          <w:sz w:val="24"/>
          <w:szCs w:val="24"/>
        </w:rPr>
        <w:t>. The decline in manufacturing output was led by a 28 percent</w:t>
      </w:r>
      <w:r w:rsidR="0031109B">
        <w:rPr>
          <w:rFonts w:ascii="Arial" w:eastAsia="Times New Roman" w:hAnsi="Arial" w:cs="Arial"/>
          <w:color w:val="000000"/>
          <w:sz w:val="24"/>
          <w:szCs w:val="24"/>
        </w:rPr>
        <w:t xml:space="preserve"> drop</w:t>
      </w:r>
      <w:r w:rsidR="00A17AFE">
        <w:rPr>
          <w:rFonts w:ascii="Arial" w:eastAsia="Times New Roman" w:hAnsi="Arial" w:cs="Arial"/>
          <w:color w:val="000000"/>
          <w:sz w:val="24"/>
          <w:szCs w:val="24"/>
        </w:rPr>
        <w:t xml:space="preserve"> in motor vehicle production</w:t>
      </w:r>
      <w:r w:rsidR="0031109B">
        <w:rPr>
          <w:rFonts w:ascii="Arial" w:eastAsia="Times New Roman" w:hAnsi="Arial" w:cs="Arial"/>
          <w:color w:val="000000"/>
          <w:sz w:val="24"/>
          <w:szCs w:val="24"/>
        </w:rPr>
        <w:t>.</w:t>
      </w:r>
    </w:p>
    <w:p w14:paraId="151C751E" w14:textId="77777777" w:rsidR="005B12D8" w:rsidRDefault="005B12D8" w:rsidP="005B12D8">
      <w:pPr>
        <w:spacing w:after="0" w:line="276" w:lineRule="auto"/>
        <w:ind w:left="360"/>
        <w:jc w:val="both"/>
        <w:rPr>
          <w:rFonts w:ascii="Arial" w:eastAsia="Times New Roman" w:hAnsi="Arial" w:cs="Arial"/>
          <w:color w:val="000000"/>
          <w:sz w:val="24"/>
          <w:szCs w:val="24"/>
        </w:rPr>
      </w:pPr>
    </w:p>
    <w:p w14:paraId="771AE875" w14:textId="1B27329B" w:rsidR="00814733" w:rsidRPr="00A17AFE" w:rsidRDefault="00DC2E04" w:rsidP="00A17AFE">
      <w:pPr>
        <w:pStyle w:val="ListParagraph"/>
        <w:numPr>
          <w:ilvl w:val="0"/>
          <w:numId w:val="27"/>
        </w:numPr>
        <w:spacing w:after="0" w:line="276" w:lineRule="auto"/>
        <w:jc w:val="both"/>
        <w:rPr>
          <w:rFonts w:ascii="Arial" w:eastAsia="Times New Roman" w:hAnsi="Arial" w:cs="Arial"/>
          <w:color w:val="000000"/>
          <w:sz w:val="24"/>
          <w:szCs w:val="24"/>
        </w:rPr>
      </w:pPr>
      <w:r w:rsidRPr="00A17AFE">
        <w:rPr>
          <w:rFonts w:ascii="Arial" w:eastAsia="Times New Roman" w:hAnsi="Arial" w:cs="Arial"/>
          <w:color w:val="000000"/>
          <w:sz w:val="24"/>
          <w:szCs w:val="24"/>
        </w:rPr>
        <w:t>Housing starts fell 22.3 percent in March to a 1.2-million-unit pace, following prior three months of some of the strongest multifamily housing numbers on record. Single-family and multifamily housing starts fell 17.5 percent</w:t>
      </w:r>
      <w:r w:rsidR="00B477DC" w:rsidRPr="00A17AFE">
        <w:rPr>
          <w:rFonts w:ascii="Arial" w:eastAsia="Times New Roman" w:hAnsi="Arial" w:cs="Arial"/>
          <w:color w:val="000000"/>
          <w:sz w:val="24"/>
          <w:szCs w:val="24"/>
        </w:rPr>
        <w:t xml:space="preserve"> </w:t>
      </w:r>
      <w:r w:rsidRPr="00A17AFE">
        <w:rPr>
          <w:rFonts w:ascii="Arial" w:eastAsia="Times New Roman" w:hAnsi="Arial" w:cs="Arial"/>
          <w:color w:val="000000"/>
          <w:sz w:val="24"/>
          <w:szCs w:val="24"/>
        </w:rPr>
        <w:t xml:space="preserve">and 31.7 percent respectively. </w:t>
      </w:r>
    </w:p>
    <w:p w14:paraId="6028A868" w14:textId="12D17B38" w:rsidR="005B12D8" w:rsidRDefault="005B12D8" w:rsidP="00814733">
      <w:pPr>
        <w:spacing w:after="0" w:line="276" w:lineRule="auto"/>
        <w:ind w:left="360"/>
        <w:jc w:val="both"/>
        <w:rPr>
          <w:rFonts w:ascii="Arial" w:eastAsia="Times New Roman" w:hAnsi="Arial" w:cs="Arial"/>
          <w:color w:val="000000"/>
          <w:sz w:val="24"/>
          <w:szCs w:val="24"/>
        </w:rPr>
      </w:pPr>
    </w:p>
    <w:p w14:paraId="0970DA3B" w14:textId="1228D101" w:rsidR="005B12D8" w:rsidRPr="00A17AFE" w:rsidRDefault="005B12D8" w:rsidP="00A17AFE">
      <w:pPr>
        <w:pStyle w:val="ListParagraph"/>
        <w:numPr>
          <w:ilvl w:val="0"/>
          <w:numId w:val="27"/>
        </w:numPr>
        <w:spacing w:after="0" w:line="276" w:lineRule="auto"/>
        <w:jc w:val="both"/>
        <w:rPr>
          <w:rFonts w:ascii="Arial" w:eastAsia="Times New Roman" w:hAnsi="Arial" w:cs="Arial"/>
          <w:color w:val="000000"/>
          <w:sz w:val="24"/>
          <w:szCs w:val="24"/>
        </w:rPr>
      </w:pPr>
      <w:r w:rsidRPr="00A17AFE">
        <w:rPr>
          <w:rFonts w:ascii="Arial" w:eastAsia="Times New Roman" w:hAnsi="Arial" w:cs="Arial"/>
          <w:color w:val="000000"/>
          <w:sz w:val="24"/>
          <w:szCs w:val="24"/>
        </w:rPr>
        <w:t xml:space="preserve">More than 5.2 million Americans filed for unemployment insurance </w:t>
      </w:r>
      <w:r w:rsidR="00050F7C" w:rsidRPr="00A17AFE">
        <w:rPr>
          <w:rFonts w:ascii="Arial" w:eastAsia="Times New Roman" w:hAnsi="Arial" w:cs="Arial"/>
          <w:color w:val="000000"/>
          <w:sz w:val="24"/>
          <w:szCs w:val="24"/>
        </w:rPr>
        <w:t xml:space="preserve">on </w:t>
      </w:r>
      <w:r w:rsidRPr="00A17AFE">
        <w:rPr>
          <w:rFonts w:ascii="Arial" w:eastAsia="Times New Roman" w:hAnsi="Arial" w:cs="Arial"/>
          <w:color w:val="000000"/>
          <w:sz w:val="24"/>
          <w:szCs w:val="24"/>
        </w:rPr>
        <w:t>the week end</w:t>
      </w:r>
      <w:r w:rsidR="00050F7C" w:rsidRPr="00A17AFE">
        <w:rPr>
          <w:rFonts w:ascii="Arial" w:eastAsia="Times New Roman" w:hAnsi="Arial" w:cs="Arial"/>
          <w:color w:val="000000"/>
          <w:sz w:val="24"/>
          <w:szCs w:val="24"/>
        </w:rPr>
        <w:t>ing</w:t>
      </w:r>
      <w:r w:rsidRPr="00A17AFE">
        <w:rPr>
          <w:rFonts w:ascii="Arial" w:eastAsia="Times New Roman" w:hAnsi="Arial" w:cs="Arial"/>
          <w:color w:val="000000"/>
          <w:sz w:val="24"/>
          <w:szCs w:val="24"/>
        </w:rPr>
        <w:t xml:space="preserve"> April 11. Continuing claims,</w:t>
      </w:r>
      <w:r w:rsidR="00050F7C" w:rsidRPr="00A17AFE">
        <w:rPr>
          <w:rFonts w:ascii="Arial" w:eastAsia="Times New Roman" w:hAnsi="Arial" w:cs="Arial"/>
          <w:color w:val="000000"/>
          <w:sz w:val="24"/>
          <w:szCs w:val="24"/>
        </w:rPr>
        <w:t xml:space="preserve"> </w:t>
      </w:r>
      <w:r w:rsidRPr="00A17AFE">
        <w:rPr>
          <w:rFonts w:ascii="Arial" w:eastAsia="Times New Roman" w:hAnsi="Arial" w:cs="Arial"/>
          <w:color w:val="000000"/>
          <w:sz w:val="24"/>
          <w:szCs w:val="24"/>
        </w:rPr>
        <w:t>or the total number of people continuing to receive insurance, rose to 12 million the week ended April 4.</w:t>
      </w:r>
      <w:r w:rsidR="004F7CBD" w:rsidRPr="00A17AFE">
        <w:rPr>
          <w:rFonts w:ascii="Arial" w:eastAsia="Times New Roman" w:hAnsi="Arial" w:cs="Arial"/>
          <w:color w:val="000000"/>
          <w:sz w:val="24"/>
          <w:szCs w:val="24"/>
        </w:rPr>
        <w:t xml:space="preserve"> </w:t>
      </w:r>
    </w:p>
    <w:p w14:paraId="5B2D6FB5" w14:textId="731A984E" w:rsidR="003747C2" w:rsidRPr="00E90B7C" w:rsidRDefault="003747C2" w:rsidP="003747C2">
      <w:pPr>
        <w:spacing w:after="0" w:line="276" w:lineRule="auto"/>
        <w:rPr>
          <w:rFonts w:ascii="Arial" w:eastAsia="Times New Roman" w:hAnsi="Arial" w:cs="Arial"/>
          <w:color w:val="000000"/>
          <w:sz w:val="24"/>
          <w:szCs w:val="24"/>
        </w:rPr>
      </w:pPr>
    </w:p>
    <w:p w14:paraId="3B5C4659" w14:textId="77777777" w:rsidR="00E90B7C" w:rsidRDefault="00E90B7C" w:rsidP="00E90B7C">
      <w:pPr>
        <w:pStyle w:val="Subheading"/>
        <w:spacing w:line="276" w:lineRule="auto"/>
        <w:jc w:val="both"/>
        <w:rPr>
          <w:rFonts w:ascii="Arial" w:hAnsi="Arial" w:cs="Arial"/>
        </w:rPr>
      </w:pPr>
    </w:p>
    <w:p w14:paraId="3EC48955" w14:textId="394230F0" w:rsidR="00727911" w:rsidRPr="00E90B7C" w:rsidRDefault="00727911" w:rsidP="00E90B7C">
      <w:pPr>
        <w:pStyle w:val="Subheading"/>
        <w:spacing w:line="276" w:lineRule="auto"/>
        <w:jc w:val="both"/>
        <w:rPr>
          <w:rFonts w:ascii="Gotham Book" w:hAnsi="Gotham Book" w:cs="Arial"/>
        </w:rPr>
      </w:pPr>
      <w:r w:rsidRPr="00E90B7C">
        <w:rPr>
          <w:rFonts w:ascii="Gotham Book" w:hAnsi="Gotham Book" w:cs="Arial"/>
        </w:rPr>
        <w:t>Fixed Income</w:t>
      </w:r>
    </w:p>
    <w:p w14:paraId="14D56713" w14:textId="6C37E34B" w:rsidR="00727911" w:rsidRPr="00E90B7C" w:rsidRDefault="00727911" w:rsidP="00727911">
      <w:pPr>
        <w:spacing w:after="0" w:line="276" w:lineRule="auto"/>
        <w:rPr>
          <w:rFonts w:ascii="Arial" w:eastAsia="Times New Roman" w:hAnsi="Arial" w:cs="Arial"/>
          <w:color w:val="000000"/>
          <w:sz w:val="24"/>
          <w:szCs w:val="24"/>
          <w:shd w:val="clear" w:color="auto" w:fill="FFFFFF"/>
        </w:rPr>
      </w:pPr>
      <w:r w:rsidRPr="00E90B7C">
        <w:rPr>
          <w:rFonts w:ascii="Arial" w:eastAsia="Times New Roman" w:hAnsi="Arial" w:cs="Arial"/>
          <w:color w:val="000000"/>
          <w:sz w:val="24"/>
          <w:szCs w:val="24"/>
        </w:rPr>
        <w:t xml:space="preserve">The yield on the ten-year U.S. Treasury </w:t>
      </w:r>
      <w:r w:rsidR="00327C23">
        <w:rPr>
          <w:rFonts w:ascii="Arial" w:eastAsia="Times New Roman" w:hAnsi="Arial" w:cs="Arial"/>
          <w:color w:val="000000"/>
          <w:sz w:val="24"/>
          <w:szCs w:val="24"/>
          <w:shd w:val="clear" w:color="auto" w:fill="FFFFFF"/>
        </w:rPr>
        <w:t>fell</w:t>
      </w:r>
      <w:r w:rsidRPr="00E90B7C">
        <w:rPr>
          <w:rFonts w:ascii="Arial" w:eastAsia="Times New Roman" w:hAnsi="Arial" w:cs="Arial"/>
          <w:color w:val="000000"/>
          <w:sz w:val="24"/>
          <w:szCs w:val="24"/>
          <w:shd w:val="clear" w:color="auto" w:fill="FFFFFF"/>
        </w:rPr>
        <w:t xml:space="preserve"> this week </w:t>
      </w:r>
      <w:r w:rsidR="00FD3BE2" w:rsidRPr="00E90B7C">
        <w:rPr>
          <w:rFonts w:ascii="Arial" w:eastAsia="Times New Roman" w:hAnsi="Arial" w:cs="Arial"/>
          <w:color w:val="000000"/>
          <w:sz w:val="24"/>
          <w:szCs w:val="24"/>
          <w:shd w:val="clear" w:color="auto" w:fill="FFFFFF"/>
        </w:rPr>
        <w:t>to</w:t>
      </w:r>
      <w:r w:rsidRPr="00E90B7C">
        <w:rPr>
          <w:rFonts w:ascii="Arial" w:eastAsia="Times New Roman" w:hAnsi="Arial" w:cs="Arial"/>
          <w:color w:val="000000"/>
          <w:sz w:val="24"/>
          <w:szCs w:val="24"/>
          <w:shd w:val="clear" w:color="auto" w:fill="FFFFFF"/>
        </w:rPr>
        <w:t xml:space="preserve"> </w:t>
      </w:r>
      <w:r w:rsidR="004A7066" w:rsidRPr="00E90B7C">
        <w:rPr>
          <w:rFonts w:ascii="Arial" w:eastAsia="Times New Roman" w:hAnsi="Arial" w:cs="Arial"/>
          <w:color w:val="000000"/>
          <w:sz w:val="24"/>
          <w:szCs w:val="24"/>
          <w:shd w:val="clear" w:color="auto" w:fill="FFFFFF"/>
        </w:rPr>
        <w:t>0.</w:t>
      </w:r>
      <w:r w:rsidR="00327C23">
        <w:rPr>
          <w:rFonts w:ascii="Arial" w:eastAsia="Times New Roman" w:hAnsi="Arial" w:cs="Arial"/>
          <w:color w:val="000000"/>
          <w:sz w:val="24"/>
          <w:szCs w:val="24"/>
          <w:shd w:val="clear" w:color="auto" w:fill="FFFFFF"/>
        </w:rPr>
        <w:t xml:space="preserve">65 </w:t>
      </w:r>
      <w:r w:rsidRPr="00E90B7C">
        <w:rPr>
          <w:rFonts w:ascii="Arial" w:eastAsia="Times New Roman" w:hAnsi="Arial" w:cs="Arial"/>
          <w:color w:val="000000"/>
          <w:sz w:val="24"/>
          <w:szCs w:val="24"/>
          <w:shd w:val="clear" w:color="auto" w:fill="FFFFFF"/>
        </w:rPr>
        <w:t>percent</w:t>
      </w:r>
      <w:r w:rsidR="00A65D43" w:rsidRPr="00E90B7C">
        <w:rPr>
          <w:rFonts w:ascii="Arial" w:eastAsia="Times New Roman" w:hAnsi="Arial" w:cs="Arial"/>
          <w:color w:val="000000"/>
          <w:sz w:val="24"/>
          <w:szCs w:val="24"/>
          <w:shd w:val="clear" w:color="auto" w:fill="FFFFFF"/>
        </w:rPr>
        <w:t>.</w:t>
      </w:r>
    </w:p>
    <w:p w14:paraId="1F727144" w14:textId="77777777" w:rsidR="00E30CB9" w:rsidRPr="00E90B7C" w:rsidRDefault="00E30CB9" w:rsidP="00727911">
      <w:pPr>
        <w:spacing w:after="0" w:line="276" w:lineRule="auto"/>
        <w:rPr>
          <w:rFonts w:ascii="Arial" w:eastAsia="Times New Roman" w:hAnsi="Arial" w:cs="Arial"/>
          <w:b/>
          <w:bCs/>
          <w:color w:val="000000"/>
          <w:sz w:val="24"/>
          <w:szCs w:val="24"/>
        </w:rPr>
      </w:pPr>
    </w:p>
    <w:p w14:paraId="0CB16688" w14:textId="409DF8E0" w:rsidR="00E30CB9" w:rsidRPr="00E90B7C" w:rsidRDefault="00727911" w:rsidP="00E90B7C">
      <w:pPr>
        <w:pStyle w:val="Subheading"/>
        <w:spacing w:line="276" w:lineRule="auto"/>
        <w:jc w:val="both"/>
        <w:rPr>
          <w:rFonts w:ascii="Gotham Book" w:hAnsi="Gotham Book" w:cs="Arial"/>
        </w:rPr>
      </w:pPr>
      <w:r w:rsidRPr="00E90B7C">
        <w:rPr>
          <w:rFonts w:ascii="Gotham Book" w:hAnsi="Gotham Book" w:cs="Arial"/>
        </w:rPr>
        <w:t xml:space="preserve">Equity </w:t>
      </w:r>
    </w:p>
    <w:p w14:paraId="0A9308A7" w14:textId="45B33558" w:rsidR="000633F5" w:rsidRPr="00E90B7C" w:rsidRDefault="00727911" w:rsidP="00727911">
      <w:pPr>
        <w:spacing w:after="0" w:line="276" w:lineRule="auto"/>
        <w:jc w:val="both"/>
        <w:rPr>
          <w:rFonts w:ascii="Arial" w:eastAsia="Times New Roman" w:hAnsi="Arial" w:cs="Arial"/>
          <w:color w:val="000000"/>
          <w:sz w:val="24"/>
          <w:szCs w:val="24"/>
          <w:shd w:val="clear" w:color="auto" w:fill="FFFFFF"/>
        </w:rPr>
      </w:pPr>
      <w:r w:rsidRPr="00E90B7C">
        <w:rPr>
          <w:rFonts w:ascii="Arial" w:eastAsia="Times New Roman" w:hAnsi="Arial" w:cs="Arial"/>
          <w:color w:val="000000"/>
          <w:sz w:val="24"/>
          <w:szCs w:val="24"/>
          <w:shd w:val="clear" w:color="auto" w:fill="FFFFFF"/>
        </w:rPr>
        <w:t xml:space="preserve">The Dow Jones Industrial Average (DJIA) </w:t>
      </w:r>
      <w:r w:rsidR="00531967" w:rsidRPr="00E90B7C">
        <w:rPr>
          <w:rFonts w:ascii="Arial" w:eastAsia="Times New Roman" w:hAnsi="Arial" w:cs="Arial"/>
          <w:color w:val="000000"/>
          <w:sz w:val="24"/>
          <w:szCs w:val="24"/>
          <w:shd w:val="clear" w:color="auto" w:fill="FFFFFF"/>
        </w:rPr>
        <w:t>rose</w:t>
      </w:r>
      <w:r w:rsidR="008B5DA9" w:rsidRPr="00E90B7C">
        <w:rPr>
          <w:rFonts w:ascii="Arial" w:eastAsia="Times New Roman" w:hAnsi="Arial" w:cs="Arial"/>
          <w:color w:val="000000"/>
          <w:sz w:val="24"/>
          <w:szCs w:val="24"/>
          <w:shd w:val="clear" w:color="auto" w:fill="FFFFFF"/>
        </w:rPr>
        <w:t xml:space="preserve"> </w:t>
      </w:r>
      <w:r w:rsidR="00126693">
        <w:rPr>
          <w:rFonts w:ascii="Arial" w:eastAsia="Times New Roman" w:hAnsi="Arial" w:cs="Arial"/>
          <w:color w:val="000000"/>
          <w:sz w:val="24"/>
          <w:szCs w:val="24"/>
          <w:shd w:val="clear" w:color="auto" w:fill="FFFFFF"/>
        </w:rPr>
        <w:t>2.21</w:t>
      </w:r>
      <w:r w:rsidR="008B5DA9" w:rsidRPr="00E90B7C">
        <w:rPr>
          <w:rFonts w:ascii="Arial" w:eastAsia="Times New Roman" w:hAnsi="Arial" w:cs="Arial"/>
          <w:color w:val="000000"/>
          <w:sz w:val="24"/>
          <w:szCs w:val="24"/>
          <w:shd w:val="clear" w:color="auto" w:fill="FFFFFF"/>
        </w:rPr>
        <w:t xml:space="preserve"> </w:t>
      </w:r>
      <w:r w:rsidR="00920CF6" w:rsidRPr="00E90B7C">
        <w:rPr>
          <w:rFonts w:ascii="Arial" w:eastAsia="Times New Roman" w:hAnsi="Arial" w:cs="Arial"/>
          <w:color w:val="000000"/>
          <w:sz w:val="24"/>
          <w:szCs w:val="24"/>
          <w:shd w:val="clear" w:color="auto" w:fill="FFFFFF"/>
        </w:rPr>
        <w:t>percent</w:t>
      </w:r>
      <w:r w:rsidR="00415D08" w:rsidRPr="00E90B7C">
        <w:rPr>
          <w:rFonts w:ascii="Arial" w:eastAsia="Times New Roman" w:hAnsi="Arial" w:cs="Arial"/>
          <w:color w:val="000000"/>
          <w:sz w:val="24"/>
          <w:szCs w:val="24"/>
          <w:shd w:val="clear" w:color="auto" w:fill="FFFFFF"/>
        </w:rPr>
        <w:t xml:space="preserve"> and finished at </w:t>
      </w:r>
      <w:r w:rsidR="00126693">
        <w:rPr>
          <w:rFonts w:ascii="Arial" w:eastAsia="Times New Roman" w:hAnsi="Arial" w:cs="Arial"/>
          <w:color w:val="000000"/>
          <w:sz w:val="24"/>
          <w:szCs w:val="24"/>
          <w:shd w:val="clear" w:color="auto" w:fill="FFFFFF"/>
        </w:rPr>
        <w:t>24,242.49</w:t>
      </w:r>
      <w:r w:rsidRPr="00E90B7C">
        <w:rPr>
          <w:rFonts w:ascii="Arial" w:eastAsia="Times New Roman" w:hAnsi="Arial" w:cs="Arial"/>
          <w:color w:val="000000"/>
          <w:sz w:val="24"/>
          <w:szCs w:val="24"/>
          <w:shd w:val="clear" w:color="auto" w:fill="FFFFFF"/>
        </w:rPr>
        <w:t xml:space="preserve"> points. The S&amp;P 500 </w:t>
      </w:r>
      <w:r w:rsidR="00126693">
        <w:rPr>
          <w:rFonts w:ascii="Arial" w:eastAsia="Times New Roman" w:hAnsi="Arial" w:cs="Arial"/>
          <w:color w:val="000000"/>
          <w:sz w:val="24"/>
          <w:szCs w:val="24"/>
          <w:shd w:val="clear" w:color="auto" w:fill="FFFFFF"/>
        </w:rPr>
        <w:t>gained</w:t>
      </w:r>
      <w:r w:rsidR="000F280F" w:rsidRPr="00E90B7C">
        <w:rPr>
          <w:rFonts w:ascii="Arial" w:eastAsia="Times New Roman" w:hAnsi="Arial" w:cs="Arial"/>
          <w:color w:val="000000"/>
          <w:sz w:val="24"/>
          <w:szCs w:val="24"/>
          <w:shd w:val="clear" w:color="auto" w:fill="FFFFFF"/>
        </w:rPr>
        <w:t xml:space="preserve"> </w:t>
      </w:r>
      <w:r w:rsidR="00126693">
        <w:rPr>
          <w:rFonts w:ascii="Arial" w:eastAsia="Times New Roman" w:hAnsi="Arial" w:cs="Arial"/>
          <w:color w:val="000000"/>
          <w:sz w:val="24"/>
          <w:szCs w:val="24"/>
          <w:shd w:val="clear" w:color="auto" w:fill="FFFFFF"/>
        </w:rPr>
        <w:t>3.04</w:t>
      </w:r>
      <w:r w:rsidR="00157750" w:rsidRPr="00E90B7C">
        <w:rPr>
          <w:rFonts w:ascii="Arial" w:eastAsia="Times New Roman" w:hAnsi="Arial" w:cs="Arial"/>
          <w:color w:val="000000"/>
          <w:sz w:val="24"/>
          <w:szCs w:val="24"/>
          <w:shd w:val="clear" w:color="auto" w:fill="FFFFFF"/>
        </w:rPr>
        <w:t xml:space="preserve"> </w:t>
      </w:r>
      <w:r w:rsidRPr="00E90B7C">
        <w:rPr>
          <w:rFonts w:ascii="Arial" w:eastAsia="Times New Roman" w:hAnsi="Arial" w:cs="Arial"/>
          <w:color w:val="000000"/>
          <w:sz w:val="24"/>
          <w:szCs w:val="24"/>
          <w:shd w:val="clear" w:color="auto" w:fill="FFFFFF"/>
        </w:rPr>
        <w:t xml:space="preserve">percent and finished at </w:t>
      </w:r>
      <w:r w:rsidR="00126693">
        <w:rPr>
          <w:rFonts w:ascii="Arial" w:eastAsia="Times New Roman" w:hAnsi="Arial" w:cs="Arial"/>
          <w:color w:val="000000"/>
          <w:sz w:val="24"/>
          <w:szCs w:val="24"/>
          <w:shd w:val="clear" w:color="auto" w:fill="FFFFFF"/>
        </w:rPr>
        <w:t>2,874.56</w:t>
      </w:r>
      <w:r w:rsidRPr="00E90B7C">
        <w:rPr>
          <w:rFonts w:ascii="Arial" w:eastAsia="Times New Roman" w:hAnsi="Arial" w:cs="Arial"/>
          <w:color w:val="000000"/>
          <w:sz w:val="24"/>
          <w:szCs w:val="24"/>
          <w:shd w:val="clear" w:color="auto" w:fill="FFFFFF"/>
        </w:rPr>
        <w:t xml:space="preserve"> points. The NASDAQ </w:t>
      </w:r>
      <w:r w:rsidR="00126693">
        <w:rPr>
          <w:rFonts w:ascii="Arial" w:eastAsia="Times New Roman" w:hAnsi="Arial" w:cs="Arial"/>
          <w:color w:val="000000"/>
          <w:sz w:val="24"/>
          <w:szCs w:val="24"/>
          <w:shd w:val="clear" w:color="auto" w:fill="FFFFFF"/>
        </w:rPr>
        <w:t>rose</w:t>
      </w:r>
      <w:r w:rsidR="008B5DA9" w:rsidRPr="00E90B7C">
        <w:rPr>
          <w:rFonts w:ascii="Arial" w:eastAsia="Times New Roman" w:hAnsi="Arial" w:cs="Arial"/>
          <w:color w:val="000000"/>
          <w:sz w:val="24"/>
          <w:szCs w:val="24"/>
          <w:shd w:val="clear" w:color="auto" w:fill="FFFFFF"/>
        </w:rPr>
        <w:t xml:space="preserve"> </w:t>
      </w:r>
      <w:r w:rsidR="00126693">
        <w:rPr>
          <w:rFonts w:ascii="Arial" w:eastAsia="Times New Roman" w:hAnsi="Arial" w:cs="Arial"/>
          <w:color w:val="000000"/>
          <w:sz w:val="24"/>
          <w:szCs w:val="24"/>
          <w:shd w:val="clear" w:color="auto" w:fill="FFFFFF"/>
        </w:rPr>
        <w:t xml:space="preserve">6.09 </w:t>
      </w:r>
      <w:r w:rsidRPr="00E90B7C">
        <w:rPr>
          <w:rFonts w:ascii="Arial" w:eastAsia="Times New Roman" w:hAnsi="Arial" w:cs="Arial"/>
          <w:color w:val="000000"/>
          <w:sz w:val="24"/>
          <w:szCs w:val="24"/>
          <w:shd w:val="clear" w:color="auto" w:fill="FFFFFF"/>
        </w:rPr>
        <w:t>percent on the week</w:t>
      </w:r>
      <w:r w:rsidR="00301302" w:rsidRPr="00E90B7C">
        <w:rPr>
          <w:rFonts w:ascii="Arial" w:eastAsia="Times New Roman" w:hAnsi="Arial" w:cs="Arial"/>
          <w:color w:val="000000"/>
          <w:sz w:val="24"/>
          <w:szCs w:val="24"/>
          <w:shd w:val="clear" w:color="auto" w:fill="FFFFFF"/>
        </w:rPr>
        <w:t xml:space="preserve"> and ended at </w:t>
      </w:r>
      <w:r w:rsidR="00126693">
        <w:rPr>
          <w:rFonts w:ascii="Arial" w:eastAsia="Times New Roman" w:hAnsi="Arial" w:cs="Arial"/>
          <w:color w:val="000000"/>
          <w:sz w:val="24"/>
          <w:szCs w:val="24"/>
          <w:shd w:val="clear" w:color="auto" w:fill="FFFFFF"/>
        </w:rPr>
        <w:t xml:space="preserve">8,650.14 </w:t>
      </w:r>
      <w:r w:rsidRPr="00E90B7C">
        <w:rPr>
          <w:rFonts w:ascii="Arial" w:eastAsia="Times New Roman" w:hAnsi="Arial" w:cs="Arial"/>
          <w:color w:val="000000"/>
          <w:sz w:val="24"/>
          <w:szCs w:val="24"/>
          <w:shd w:val="clear" w:color="auto" w:fill="FFFFFF"/>
        </w:rPr>
        <w:t>points</w:t>
      </w:r>
      <w:r w:rsidR="000633F5" w:rsidRPr="00E90B7C">
        <w:rPr>
          <w:rFonts w:ascii="Arial" w:eastAsia="Times New Roman" w:hAnsi="Arial" w:cs="Arial"/>
          <w:color w:val="000000"/>
          <w:sz w:val="24"/>
          <w:szCs w:val="24"/>
          <w:shd w:val="clear" w:color="auto" w:fill="FFFFFF"/>
        </w:rPr>
        <w:t xml:space="preserve">. </w:t>
      </w:r>
    </w:p>
    <w:p w14:paraId="21E54520" w14:textId="7399986A" w:rsidR="00236497" w:rsidRPr="00E90B7C" w:rsidRDefault="00236497" w:rsidP="00727911">
      <w:pPr>
        <w:spacing w:after="0" w:line="276" w:lineRule="auto"/>
        <w:jc w:val="both"/>
        <w:rPr>
          <w:rFonts w:ascii="Arial" w:eastAsia="Times New Roman" w:hAnsi="Arial" w:cs="Arial"/>
          <w:color w:val="000000"/>
          <w:sz w:val="24"/>
          <w:szCs w:val="24"/>
          <w:shd w:val="clear" w:color="auto" w:fill="FFFFFF"/>
        </w:rPr>
      </w:pPr>
    </w:p>
    <w:p w14:paraId="1BA8C7F8" w14:textId="77777777" w:rsidR="00236497" w:rsidRPr="00E90B7C" w:rsidRDefault="00236497" w:rsidP="00727911">
      <w:pPr>
        <w:spacing w:after="0" w:line="276" w:lineRule="auto"/>
        <w:jc w:val="both"/>
        <w:rPr>
          <w:rFonts w:ascii="Arial" w:eastAsia="Times New Roman" w:hAnsi="Arial" w:cs="Arial"/>
          <w:color w:val="000000"/>
          <w:sz w:val="24"/>
          <w:szCs w:val="24"/>
          <w:shd w:val="clear" w:color="auto" w:fill="FFFFFF"/>
        </w:rPr>
      </w:pPr>
    </w:p>
    <w:p w14:paraId="6654393D" w14:textId="77777777" w:rsidR="000633F5" w:rsidRPr="00E90B7C" w:rsidRDefault="000633F5" w:rsidP="00727911">
      <w:pPr>
        <w:spacing w:after="0" w:line="276" w:lineRule="auto"/>
        <w:jc w:val="both"/>
        <w:rPr>
          <w:rFonts w:ascii="Arial" w:eastAsia="Times New Roman" w:hAnsi="Arial" w:cs="Arial"/>
          <w:color w:val="000000"/>
          <w:sz w:val="24"/>
          <w:szCs w:val="24"/>
          <w:shd w:val="clear" w:color="auto" w:fill="FFFFFF"/>
        </w:rPr>
      </w:pPr>
    </w:p>
    <w:p w14:paraId="66702448" w14:textId="77777777" w:rsidR="00727911" w:rsidRPr="00E90B7C" w:rsidRDefault="00727911" w:rsidP="00727911">
      <w:pPr>
        <w:spacing w:after="0" w:line="276" w:lineRule="auto"/>
        <w:rPr>
          <w:rFonts w:ascii="Gotham Book" w:eastAsia="Times New Roman" w:hAnsi="Gotham Book" w:cs="Arial"/>
          <w:b/>
          <w:bCs/>
          <w:color w:val="000000"/>
          <w:sz w:val="24"/>
          <w:szCs w:val="24"/>
          <w:u w:val="single"/>
        </w:rPr>
      </w:pPr>
      <w:r w:rsidRPr="00E90B7C">
        <w:rPr>
          <w:rFonts w:ascii="Gotham Book" w:eastAsia="Times New Roman" w:hAnsi="Gotham Book" w:cs="Arial"/>
          <w:b/>
          <w:bCs/>
          <w:color w:val="000000"/>
          <w:sz w:val="24"/>
          <w:szCs w:val="24"/>
          <w:u w:val="single"/>
        </w:rPr>
        <w:t>GLOBAL MARKETS</w:t>
      </w:r>
    </w:p>
    <w:p w14:paraId="1592241B" w14:textId="77777777" w:rsidR="005A5068" w:rsidRPr="00E90B7C" w:rsidRDefault="005A5068" w:rsidP="005A5068">
      <w:pPr>
        <w:spacing w:after="0" w:line="276" w:lineRule="auto"/>
        <w:jc w:val="both"/>
        <w:textAlignment w:val="baseline"/>
        <w:rPr>
          <w:rFonts w:ascii="Arial" w:eastAsia="Times New Roman" w:hAnsi="Arial" w:cs="Arial"/>
          <w:sz w:val="24"/>
          <w:szCs w:val="24"/>
        </w:rPr>
      </w:pPr>
    </w:p>
    <w:p w14:paraId="69A33031" w14:textId="13394DD1" w:rsidR="00B74EEB" w:rsidRDefault="00727911" w:rsidP="00C20EC8">
      <w:pPr>
        <w:pStyle w:val="ListParagraph"/>
        <w:numPr>
          <w:ilvl w:val="0"/>
          <w:numId w:val="23"/>
        </w:numPr>
        <w:spacing w:after="0" w:line="276" w:lineRule="auto"/>
        <w:jc w:val="both"/>
        <w:textAlignment w:val="baseline"/>
        <w:rPr>
          <w:rFonts w:ascii="Arial" w:eastAsia="Times New Roman" w:hAnsi="Arial" w:cs="Arial"/>
          <w:color w:val="000000"/>
          <w:sz w:val="24"/>
          <w:szCs w:val="24"/>
        </w:rPr>
      </w:pPr>
      <w:r w:rsidRPr="00E90B7C">
        <w:rPr>
          <w:rFonts w:ascii="Arial" w:eastAsia="Times New Roman" w:hAnsi="Arial" w:cs="Arial"/>
          <w:color w:val="000000"/>
          <w:sz w:val="24"/>
          <w:szCs w:val="24"/>
        </w:rPr>
        <w:t xml:space="preserve">Arab light </w:t>
      </w:r>
      <w:r w:rsidR="009C5B14" w:rsidRPr="00E90B7C">
        <w:rPr>
          <w:rFonts w:ascii="Arial" w:eastAsia="Times New Roman" w:hAnsi="Arial" w:cs="Arial"/>
          <w:color w:val="000000"/>
          <w:sz w:val="24"/>
          <w:szCs w:val="24"/>
        </w:rPr>
        <w:t xml:space="preserve">crude </w:t>
      </w:r>
      <w:r w:rsidR="00B74EEB">
        <w:rPr>
          <w:rFonts w:ascii="Arial" w:eastAsia="Times New Roman" w:hAnsi="Arial" w:cs="Arial"/>
          <w:color w:val="000000"/>
          <w:sz w:val="24"/>
          <w:szCs w:val="24"/>
        </w:rPr>
        <w:t>lost</w:t>
      </w:r>
      <w:r w:rsidR="00103E82" w:rsidRPr="00E90B7C">
        <w:rPr>
          <w:rFonts w:ascii="Arial" w:eastAsia="Times New Roman" w:hAnsi="Arial" w:cs="Arial"/>
          <w:color w:val="000000"/>
          <w:sz w:val="24"/>
          <w:szCs w:val="24"/>
        </w:rPr>
        <w:t xml:space="preserve"> </w:t>
      </w:r>
      <w:r w:rsidR="00B74EEB">
        <w:rPr>
          <w:rFonts w:ascii="Arial" w:eastAsia="Times New Roman" w:hAnsi="Arial" w:cs="Arial"/>
          <w:color w:val="000000"/>
          <w:sz w:val="24"/>
          <w:szCs w:val="24"/>
        </w:rPr>
        <w:t xml:space="preserve">18.3 </w:t>
      </w:r>
      <w:r w:rsidR="00B37EB6" w:rsidRPr="00E90B7C">
        <w:rPr>
          <w:rFonts w:ascii="Arial" w:eastAsia="Times New Roman" w:hAnsi="Arial" w:cs="Arial"/>
          <w:color w:val="000000"/>
          <w:sz w:val="24"/>
          <w:szCs w:val="24"/>
        </w:rPr>
        <w:t xml:space="preserve">percent </w:t>
      </w:r>
      <w:r w:rsidR="00103E82" w:rsidRPr="00E90B7C">
        <w:rPr>
          <w:rFonts w:ascii="Arial" w:eastAsia="Times New Roman" w:hAnsi="Arial" w:cs="Arial"/>
          <w:color w:val="000000"/>
          <w:sz w:val="24"/>
          <w:szCs w:val="24"/>
        </w:rPr>
        <w:t xml:space="preserve">this week </w:t>
      </w:r>
      <w:r w:rsidR="00B74EEB">
        <w:rPr>
          <w:rFonts w:ascii="Arial" w:eastAsia="Times New Roman" w:hAnsi="Arial" w:cs="Arial"/>
          <w:color w:val="000000"/>
          <w:sz w:val="24"/>
          <w:szCs w:val="24"/>
        </w:rPr>
        <w:t>and ended at $</w:t>
      </w:r>
      <w:r w:rsidR="0020602D">
        <w:rPr>
          <w:rFonts w:ascii="Arial" w:eastAsia="Times New Roman" w:hAnsi="Arial" w:cs="Arial"/>
          <w:color w:val="000000"/>
          <w:sz w:val="24"/>
          <w:szCs w:val="24"/>
        </w:rPr>
        <w:t>23.32</w:t>
      </w:r>
      <w:r w:rsidR="00B74EEB">
        <w:rPr>
          <w:rFonts w:ascii="Arial" w:eastAsia="Times New Roman" w:hAnsi="Arial" w:cs="Arial"/>
          <w:color w:val="000000"/>
          <w:sz w:val="24"/>
          <w:szCs w:val="24"/>
        </w:rPr>
        <w:t xml:space="preserve"> despite a landmark OPEC+ supply cut deal that saw </w:t>
      </w:r>
      <w:r w:rsidR="003A6BAA">
        <w:rPr>
          <w:rFonts w:ascii="Arial" w:eastAsia="Times New Roman" w:hAnsi="Arial" w:cs="Arial"/>
          <w:color w:val="000000"/>
          <w:sz w:val="24"/>
          <w:szCs w:val="24"/>
        </w:rPr>
        <w:t>agreements to cut as much as 19.5 mbpd for the next two months.</w:t>
      </w:r>
      <w:r w:rsidR="00FB535B" w:rsidRPr="00E90B7C">
        <w:rPr>
          <w:rFonts w:ascii="Arial" w:eastAsia="Times New Roman" w:hAnsi="Arial" w:cs="Arial"/>
          <w:color w:val="000000"/>
          <w:sz w:val="24"/>
          <w:szCs w:val="24"/>
        </w:rPr>
        <w:t xml:space="preserve"> G</w:t>
      </w:r>
      <w:r w:rsidR="00B37EB6" w:rsidRPr="00E90B7C">
        <w:rPr>
          <w:rFonts w:ascii="Arial" w:eastAsia="Times New Roman" w:hAnsi="Arial" w:cs="Arial"/>
          <w:color w:val="000000"/>
          <w:sz w:val="24"/>
          <w:szCs w:val="24"/>
        </w:rPr>
        <w:t xml:space="preserve">lobal benchmark Brent crude </w:t>
      </w:r>
      <w:r w:rsidR="00FB535B" w:rsidRPr="00E90B7C">
        <w:rPr>
          <w:rFonts w:ascii="Arial" w:eastAsia="Times New Roman" w:hAnsi="Arial" w:cs="Arial"/>
          <w:color w:val="000000"/>
          <w:sz w:val="24"/>
          <w:szCs w:val="24"/>
        </w:rPr>
        <w:t xml:space="preserve">meanwhile </w:t>
      </w:r>
      <w:r w:rsidR="00D22424" w:rsidRPr="00E90B7C">
        <w:rPr>
          <w:rFonts w:ascii="Arial" w:eastAsia="Times New Roman" w:hAnsi="Arial" w:cs="Arial"/>
          <w:color w:val="000000"/>
          <w:sz w:val="24"/>
          <w:szCs w:val="24"/>
        </w:rPr>
        <w:t>fell</w:t>
      </w:r>
      <w:r w:rsidR="000F68BE" w:rsidRPr="00E90B7C">
        <w:rPr>
          <w:rFonts w:ascii="Arial" w:eastAsia="Times New Roman" w:hAnsi="Arial" w:cs="Arial"/>
          <w:color w:val="000000"/>
          <w:sz w:val="24"/>
          <w:szCs w:val="24"/>
        </w:rPr>
        <w:t xml:space="preserve"> </w:t>
      </w:r>
      <w:r w:rsidR="00B74EEB">
        <w:rPr>
          <w:rFonts w:ascii="Arial" w:eastAsia="Times New Roman" w:hAnsi="Arial" w:cs="Arial"/>
          <w:color w:val="000000"/>
          <w:sz w:val="24"/>
          <w:szCs w:val="24"/>
        </w:rPr>
        <w:t>10.8</w:t>
      </w:r>
      <w:r w:rsidR="00D22424" w:rsidRPr="00E90B7C">
        <w:rPr>
          <w:rFonts w:ascii="Arial" w:eastAsia="Times New Roman" w:hAnsi="Arial" w:cs="Arial"/>
          <w:color w:val="000000"/>
          <w:sz w:val="24"/>
          <w:szCs w:val="24"/>
        </w:rPr>
        <w:t xml:space="preserve"> </w:t>
      </w:r>
      <w:r w:rsidR="00B37EB6" w:rsidRPr="00E90B7C">
        <w:rPr>
          <w:rFonts w:ascii="Arial" w:eastAsia="Times New Roman" w:hAnsi="Arial" w:cs="Arial"/>
          <w:color w:val="000000"/>
          <w:sz w:val="24"/>
          <w:szCs w:val="24"/>
        </w:rPr>
        <w:t xml:space="preserve">percent and finished at </w:t>
      </w:r>
      <w:r w:rsidR="0011224F">
        <w:rPr>
          <w:rFonts w:ascii="Arial" w:eastAsia="Times New Roman" w:hAnsi="Arial" w:cs="Arial"/>
          <w:color w:val="000000"/>
          <w:sz w:val="24"/>
          <w:szCs w:val="24"/>
        </w:rPr>
        <w:t>$</w:t>
      </w:r>
      <w:r w:rsidR="00B74EEB">
        <w:rPr>
          <w:rFonts w:ascii="Arial" w:eastAsia="Times New Roman" w:hAnsi="Arial" w:cs="Arial"/>
          <w:color w:val="000000"/>
          <w:sz w:val="24"/>
          <w:szCs w:val="24"/>
        </w:rPr>
        <w:t>28.08</w:t>
      </w:r>
      <w:r w:rsidR="00D22424" w:rsidRPr="00E90B7C">
        <w:rPr>
          <w:rFonts w:ascii="Arial" w:eastAsia="Times New Roman" w:hAnsi="Arial" w:cs="Arial"/>
          <w:color w:val="000000"/>
          <w:sz w:val="24"/>
          <w:szCs w:val="24"/>
        </w:rPr>
        <w:t xml:space="preserve"> </w:t>
      </w:r>
      <w:r w:rsidR="00B37EB6" w:rsidRPr="00E90B7C">
        <w:rPr>
          <w:rFonts w:ascii="Arial" w:eastAsia="Times New Roman" w:hAnsi="Arial" w:cs="Arial"/>
          <w:color w:val="000000"/>
          <w:sz w:val="24"/>
          <w:szCs w:val="24"/>
        </w:rPr>
        <w:t xml:space="preserve">while West Texas Intermediate (WTI) </w:t>
      </w:r>
      <w:r w:rsidR="00D22424" w:rsidRPr="00E90B7C">
        <w:rPr>
          <w:rFonts w:ascii="Arial" w:eastAsia="Times New Roman" w:hAnsi="Arial" w:cs="Arial"/>
          <w:color w:val="000000"/>
          <w:sz w:val="24"/>
          <w:szCs w:val="24"/>
        </w:rPr>
        <w:t xml:space="preserve">fell </w:t>
      </w:r>
      <w:r w:rsidR="00B74EEB">
        <w:rPr>
          <w:rFonts w:ascii="Arial" w:eastAsia="Times New Roman" w:hAnsi="Arial" w:cs="Arial"/>
          <w:color w:val="000000"/>
          <w:sz w:val="24"/>
          <w:szCs w:val="24"/>
        </w:rPr>
        <w:t>19.73</w:t>
      </w:r>
      <w:r w:rsidR="00D22424" w:rsidRPr="00E90B7C">
        <w:rPr>
          <w:rFonts w:ascii="Arial" w:eastAsia="Times New Roman" w:hAnsi="Arial" w:cs="Arial"/>
          <w:color w:val="000000"/>
          <w:sz w:val="24"/>
          <w:szCs w:val="24"/>
        </w:rPr>
        <w:t xml:space="preserve"> </w:t>
      </w:r>
      <w:r w:rsidR="00B37EB6" w:rsidRPr="00E90B7C">
        <w:rPr>
          <w:rFonts w:ascii="Arial" w:eastAsia="Times New Roman" w:hAnsi="Arial" w:cs="Arial"/>
          <w:color w:val="000000"/>
          <w:sz w:val="24"/>
          <w:szCs w:val="24"/>
        </w:rPr>
        <w:t>percent and finished at $</w:t>
      </w:r>
      <w:r w:rsidR="00B74EEB">
        <w:rPr>
          <w:rFonts w:ascii="Arial" w:eastAsia="Times New Roman" w:hAnsi="Arial" w:cs="Arial"/>
          <w:color w:val="000000"/>
          <w:sz w:val="24"/>
          <w:szCs w:val="24"/>
        </w:rPr>
        <w:t>18.27</w:t>
      </w:r>
      <w:r w:rsidR="00D22424" w:rsidRPr="00E90B7C">
        <w:rPr>
          <w:rFonts w:ascii="Arial" w:eastAsia="Times New Roman" w:hAnsi="Arial" w:cs="Arial"/>
          <w:color w:val="000000"/>
          <w:sz w:val="24"/>
          <w:szCs w:val="24"/>
        </w:rPr>
        <w:t xml:space="preserve"> </w:t>
      </w:r>
      <w:r w:rsidR="00A93DB9" w:rsidRPr="00E90B7C">
        <w:rPr>
          <w:rFonts w:ascii="Arial" w:eastAsia="Times New Roman" w:hAnsi="Arial" w:cs="Arial"/>
          <w:color w:val="000000"/>
          <w:sz w:val="24"/>
          <w:szCs w:val="24"/>
        </w:rPr>
        <w:t>as</w:t>
      </w:r>
      <w:r w:rsidR="00F02C13">
        <w:rPr>
          <w:rFonts w:ascii="Arial" w:eastAsia="Times New Roman" w:hAnsi="Arial" w:cs="Arial"/>
          <w:color w:val="000000"/>
          <w:sz w:val="24"/>
          <w:szCs w:val="24"/>
        </w:rPr>
        <w:t xml:space="preserve"> stockpile capacity reaches a ceiling and</w:t>
      </w:r>
      <w:r w:rsidR="00A93DB9" w:rsidRPr="00E90B7C">
        <w:rPr>
          <w:rFonts w:ascii="Arial" w:eastAsia="Times New Roman" w:hAnsi="Arial" w:cs="Arial"/>
          <w:color w:val="000000"/>
          <w:sz w:val="24"/>
          <w:szCs w:val="24"/>
        </w:rPr>
        <w:t xml:space="preserve"> </w:t>
      </w:r>
      <w:r w:rsidR="00BA1EAB" w:rsidRPr="00E90B7C">
        <w:rPr>
          <w:rFonts w:ascii="Arial" w:eastAsia="Times New Roman" w:hAnsi="Arial" w:cs="Arial"/>
          <w:color w:val="000000"/>
          <w:sz w:val="24"/>
          <w:szCs w:val="24"/>
        </w:rPr>
        <w:t>oil demand remains at record lows</w:t>
      </w:r>
      <w:r w:rsidR="00F02C13">
        <w:rPr>
          <w:rFonts w:ascii="Arial" w:eastAsia="Times New Roman" w:hAnsi="Arial" w:cs="Arial"/>
          <w:color w:val="000000"/>
          <w:sz w:val="24"/>
          <w:szCs w:val="24"/>
        </w:rPr>
        <w:t>.</w:t>
      </w:r>
      <w:r w:rsidR="00765A1B">
        <w:rPr>
          <w:rFonts w:ascii="Arial" w:eastAsia="Times New Roman" w:hAnsi="Arial" w:cs="Arial"/>
          <w:color w:val="000000"/>
          <w:sz w:val="24"/>
          <w:szCs w:val="24"/>
        </w:rPr>
        <w:t xml:space="preserve"> </w:t>
      </w:r>
    </w:p>
    <w:p w14:paraId="5450E534" w14:textId="4FA6A0C9" w:rsidR="007F4366" w:rsidRPr="00E90B7C" w:rsidRDefault="007F4366" w:rsidP="008F5FFB">
      <w:pPr>
        <w:spacing w:after="0" w:line="276" w:lineRule="auto"/>
        <w:jc w:val="both"/>
        <w:textAlignment w:val="baseline"/>
        <w:rPr>
          <w:rFonts w:ascii="Arial" w:eastAsia="Times New Roman" w:hAnsi="Arial" w:cs="Arial"/>
          <w:color w:val="000000"/>
          <w:sz w:val="24"/>
          <w:szCs w:val="24"/>
        </w:rPr>
      </w:pPr>
    </w:p>
    <w:p w14:paraId="3E6F3901" w14:textId="028DE43F" w:rsidR="008E3104" w:rsidRPr="0064535E" w:rsidRDefault="008E3104" w:rsidP="0064535E">
      <w:pPr>
        <w:pStyle w:val="ListParagraph"/>
        <w:numPr>
          <w:ilvl w:val="0"/>
          <w:numId w:val="23"/>
        </w:numPr>
        <w:spacing w:after="0" w:line="276"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China’s</w:t>
      </w:r>
      <w:r w:rsidR="00AF5619" w:rsidRPr="00AF5619">
        <w:rPr>
          <w:rFonts w:ascii="Arial" w:eastAsia="Times New Roman" w:hAnsi="Arial" w:cs="Arial"/>
          <w:color w:val="000000"/>
          <w:sz w:val="24"/>
          <w:szCs w:val="24"/>
        </w:rPr>
        <w:t xml:space="preserve"> economy shrank 6.8 percent </w:t>
      </w:r>
      <w:r>
        <w:rPr>
          <w:rFonts w:ascii="Arial" w:eastAsia="Times New Roman" w:hAnsi="Arial" w:cs="Arial"/>
          <w:color w:val="000000"/>
          <w:sz w:val="24"/>
          <w:szCs w:val="24"/>
        </w:rPr>
        <w:t>YoY</w:t>
      </w:r>
      <w:r w:rsidR="00AF5619" w:rsidRPr="00AF5619">
        <w:rPr>
          <w:rFonts w:ascii="Arial" w:eastAsia="Times New Roman" w:hAnsi="Arial" w:cs="Arial"/>
          <w:color w:val="000000"/>
          <w:sz w:val="24"/>
          <w:szCs w:val="24"/>
        </w:rPr>
        <w:t xml:space="preserve"> in </w:t>
      </w:r>
      <w:r>
        <w:rPr>
          <w:rFonts w:ascii="Arial" w:eastAsia="Times New Roman" w:hAnsi="Arial" w:cs="Arial"/>
          <w:color w:val="000000"/>
          <w:sz w:val="24"/>
          <w:szCs w:val="24"/>
        </w:rPr>
        <w:t xml:space="preserve">Q1 </w:t>
      </w:r>
      <w:r w:rsidR="00AF5619" w:rsidRPr="00AF5619">
        <w:rPr>
          <w:rFonts w:ascii="Arial" w:eastAsia="Times New Roman" w:hAnsi="Arial" w:cs="Arial"/>
          <w:color w:val="000000"/>
          <w:sz w:val="24"/>
          <w:szCs w:val="24"/>
        </w:rPr>
        <w:t xml:space="preserve">of 2020, </w:t>
      </w:r>
      <w:r w:rsidR="00F44056">
        <w:rPr>
          <w:rFonts w:ascii="Arial" w:eastAsia="Times New Roman" w:hAnsi="Arial" w:cs="Arial"/>
          <w:color w:val="000000"/>
          <w:sz w:val="24"/>
          <w:szCs w:val="24"/>
        </w:rPr>
        <w:t>the first economic contraction since Beijing began reporting quarterly GDP in 1992.</w:t>
      </w:r>
      <w:r w:rsidR="00641576">
        <w:rPr>
          <w:rFonts w:ascii="Arial" w:eastAsia="Times New Roman" w:hAnsi="Arial" w:cs="Arial"/>
          <w:color w:val="000000"/>
          <w:sz w:val="24"/>
          <w:szCs w:val="24"/>
        </w:rPr>
        <w:t xml:space="preserve"> During </w:t>
      </w:r>
      <w:r w:rsidR="0064535E">
        <w:rPr>
          <w:rFonts w:ascii="Arial" w:eastAsia="Times New Roman" w:hAnsi="Arial" w:cs="Arial"/>
          <w:color w:val="000000"/>
          <w:sz w:val="24"/>
          <w:szCs w:val="24"/>
        </w:rPr>
        <w:t>the first quarter of the year</w:t>
      </w:r>
      <w:r w:rsidR="00641576">
        <w:rPr>
          <w:rFonts w:ascii="Arial" w:eastAsia="Times New Roman" w:hAnsi="Arial" w:cs="Arial"/>
          <w:color w:val="000000"/>
          <w:sz w:val="24"/>
          <w:szCs w:val="24"/>
        </w:rPr>
        <w:t xml:space="preserve">, industrial production dropped 8.4 percent YoY, fixed-asset investment fell 16.1 percent YoY and retail sales fell 19 percent YoY while online sales of physical goods rose 5.9 percent YoY. </w:t>
      </w:r>
    </w:p>
    <w:p w14:paraId="13E1B6C7" w14:textId="433A4DD3" w:rsidR="004057D0" w:rsidRPr="00E90B7C" w:rsidRDefault="004057D0" w:rsidP="008F5FFB">
      <w:pPr>
        <w:spacing w:after="0" w:line="276" w:lineRule="auto"/>
        <w:jc w:val="both"/>
        <w:textAlignment w:val="baseline"/>
        <w:rPr>
          <w:rFonts w:ascii="Arial" w:eastAsia="Times New Roman" w:hAnsi="Arial" w:cs="Arial"/>
          <w:color w:val="000000"/>
          <w:sz w:val="24"/>
          <w:szCs w:val="24"/>
        </w:rPr>
      </w:pPr>
    </w:p>
    <w:p w14:paraId="4840BD84" w14:textId="186A60F2" w:rsidR="00AF5619" w:rsidRPr="0064535E" w:rsidRDefault="00AF5619" w:rsidP="0064535E">
      <w:pPr>
        <w:pStyle w:val="ListParagraph"/>
        <w:numPr>
          <w:ilvl w:val="0"/>
          <w:numId w:val="23"/>
        </w:numPr>
        <w:spacing w:after="0" w:line="276" w:lineRule="auto"/>
        <w:jc w:val="both"/>
        <w:textAlignment w:val="baseline"/>
        <w:rPr>
          <w:rFonts w:ascii="Arial" w:eastAsia="Times New Roman" w:hAnsi="Arial" w:cs="Arial"/>
          <w:color w:val="000000"/>
          <w:sz w:val="24"/>
          <w:szCs w:val="24"/>
        </w:rPr>
      </w:pPr>
      <w:r w:rsidRPr="00AF5619">
        <w:rPr>
          <w:rFonts w:ascii="Arial" w:eastAsia="Times New Roman" w:hAnsi="Arial" w:cs="Arial"/>
          <w:color w:val="000000"/>
          <w:sz w:val="24"/>
          <w:szCs w:val="24"/>
        </w:rPr>
        <w:t xml:space="preserve">Japan's exports slumped </w:t>
      </w:r>
      <w:r w:rsidR="00A50066">
        <w:rPr>
          <w:rFonts w:ascii="Arial" w:eastAsia="Times New Roman" w:hAnsi="Arial" w:cs="Arial"/>
          <w:color w:val="000000"/>
          <w:sz w:val="24"/>
          <w:szCs w:val="24"/>
        </w:rPr>
        <w:t xml:space="preserve">11.7 percent YoY in March, </w:t>
      </w:r>
      <w:r w:rsidRPr="00AF5619">
        <w:rPr>
          <w:rFonts w:ascii="Arial" w:eastAsia="Times New Roman" w:hAnsi="Arial" w:cs="Arial"/>
          <w:color w:val="000000"/>
          <w:sz w:val="24"/>
          <w:szCs w:val="24"/>
        </w:rPr>
        <w:t>the most in nearly four years as U.S.-bound shipments</w:t>
      </w:r>
      <w:r w:rsidR="00A50066">
        <w:rPr>
          <w:rFonts w:ascii="Arial" w:eastAsia="Times New Roman" w:hAnsi="Arial" w:cs="Arial"/>
          <w:color w:val="000000"/>
          <w:sz w:val="24"/>
          <w:szCs w:val="24"/>
        </w:rPr>
        <w:t xml:space="preserve"> </w:t>
      </w:r>
      <w:r w:rsidRPr="00AF5619">
        <w:rPr>
          <w:rFonts w:ascii="Arial" w:eastAsia="Times New Roman" w:hAnsi="Arial" w:cs="Arial"/>
          <w:color w:val="000000"/>
          <w:sz w:val="24"/>
          <w:szCs w:val="24"/>
        </w:rPr>
        <w:t>fell at the fastest rate since 2011</w:t>
      </w:r>
      <w:r w:rsidR="0064535E">
        <w:rPr>
          <w:rFonts w:ascii="Arial" w:eastAsia="Times New Roman" w:hAnsi="Arial" w:cs="Arial"/>
          <w:color w:val="000000"/>
          <w:sz w:val="24"/>
          <w:szCs w:val="24"/>
        </w:rPr>
        <w:t xml:space="preserve">. </w:t>
      </w:r>
      <w:r w:rsidR="0064535E" w:rsidRPr="0064535E">
        <w:rPr>
          <w:rFonts w:ascii="Arial" w:eastAsia="Times New Roman" w:hAnsi="Arial" w:cs="Arial"/>
          <w:color w:val="000000"/>
          <w:sz w:val="24"/>
          <w:szCs w:val="24"/>
        </w:rPr>
        <w:t>Imports fell 5</w:t>
      </w:r>
      <w:r w:rsidR="0064535E">
        <w:rPr>
          <w:rFonts w:ascii="Arial" w:eastAsia="Times New Roman" w:hAnsi="Arial" w:cs="Arial"/>
          <w:color w:val="000000"/>
          <w:sz w:val="24"/>
          <w:szCs w:val="24"/>
        </w:rPr>
        <w:t xml:space="preserve"> percent</w:t>
      </w:r>
      <w:r w:rsidR="0064535E" w:rsidRPr="0064535E">
        <w:rPr>
          <w:rFonts w:ascii="Arial" w:eastAsia="Times New Roman" w:hAnsi="Arial" w:cs="Arial"/>
          <w:color w:val="000000"/>
          <w:sz w:val="24"/>
          <w:szCs w:val="24"/>
        </w:rPr>
        <w:t xml:space="preserve"> </w:t>
      </w:r>
      <w:r w:rsidR="00A50066">
        <w:rPr>
          <w:rFonts w:ascii="Arial" w:eastAsia="Times New Roman" w:hAnsi="Arial" w:cs="Arial"/>
          <w:color w:val="000000"/>
          <w:sz w:val="24"/>
          <w:szCs w:val="24"/>
        </w:rPr>
        <w:t>in March</w:t>
      </w:r>
      <w:r w:rsidR="0064535E" w:rsidRPr="0064535E">
        <w:rPr>
          <w:rFonts w:ascii="Arial" w:eastAsia="Times New Roman" w:hAnsi="Arial" w:cs="Arial"/>
          <w:color w:val="000000"/>
          <w:sz w:val="24"/>
          <w:szCs w:val="24"/>
        </w:rPr>
        <w:t xml:space="preserve">, versus the median estimate </w:t>
      </w:r>
      <w:r w:rsidR="00A50066">
        <w:rPr>
          <w:rFonts w:ascii="Arial" w:eastAsia="Times New Roman" w:hAnsi="Arial" w:cs="Arial"/>
          <w:color w:val="000000"/>
          <w:sz w:val="24"/>
          <w:szCs w:val="24"/>
        </w:rPr>
        <w:t>of</w:t>
      </w:r>
      <w:r w:rsidR="0064535E" w:rsidRPr="0064535E">
        <w:rPr>
          <w:rFonts w:ascii="Arial" w:eastAsia="Times New Roman" w:hAnsi="Arial" w:cs="Arial"/>
          <w:color w:val="000000"/>
          <w:sz w:val="24"/>
          <w:szCs w:val="24"/>
        </w:rPr>
        <w:t xml:space="preserve"> a 9.8</w:t>
      </w:r>
      <w:r w:rsidR="0064535E">
        <w:rPr>
          <w:rFonts w:ascii="Arial" w:eastAsia="Times New Roman" w:hAnsi="Arial" w:cs="Arial"/>
          <w:color w:val="000000"/>
          <w:sz w:val="24"/>
          <w:szCs w:val="24"/>
        </w:rPr>
        <w:t xml:space="preserve"> percent</w:t>
      </w:r>
      <w:r w:rsidR="0064535E" w:rsidRPr="0064535E">
        <w:rPr>
          <w:rFonts w:ascii="Arial" w:eastAsia="Times New Roman" w:hAnsi="Arial" w:cs="Arial"/>
          <w:color w:val="000000"/>
          <w:sz w:val="24"/>
          <w:szCs w:val="24"/>
        </w:rPr>
        <w:t xml:space="preserve"> decline, after the prior month’s 13.9</w:t>
      </w:r>
      <w:r w:rsidR="0064535E">
        <w:rPr>
          <w:rFonts w:ascii="Arial" w:eastAsia="Times New Roman" w:hAnsi="Arial" w:cs="Arial"/>
          <w:color w:val="000000"/>
          <w:sz w:val="24"/>
          <w:szCs w:val="24"/>
        </w:rPr>
        <w:t xml:space="preserve"> percent</w:t>
      </w:r>
      <w:r w:rsidR="0064535E" w:rsidRPr="0064535E">
        <w:rPr>
          <w:rFonts w:ascii="Arial" w:eastAsia="Times New Roman" w:hAnsi="Arial" w:cs="Arial"/>
          <w:color w:val="000000"/>
          <w:sz w:val="24"/>
          <w:szCs w:val="24"/>
        </w:rPr>
        <w:t xml:space="preserve"> drop, bringing the trade balance to a surplus of $45.</w:t>
      </w:r>
      <w:r w:rsidR="00B411CE">
        <w:rPr>
          <w:rFonts w:ascii="Arial" w:eastAsia="Times New Roman" w:hAnsi="Arial" w:cs="Arial"/>
          <w:color w:val="000000"/>
          <w:sz w:val="24"/>
          <w:szCs w:val="24"/>
        </w:rPr>
        <w:t>5</w:t>
      </w:r>
      <w:r w:rsidR="0064535E" w:rsidRPr="0064535E">
        <w:rPr>
          <w:rFonts w:ascii="Arial" w:eastAsia="Times New Roman" w:hAnsi="Arial" w:cs="Arial"/>
          <w:color w:val="000000"/>
          <w:sz w:val="24"/>
          <w:szCs w:val="24"/>
        </w:rPr>
        <w:t xml:space="preserve"> million</w:t>
      </w:r>
      <w:r w:rsidR="00A50066">
        <w:rPr>
          <w:rFonts w:ascii="Arial" w:eastAsia="Times New Roman" w:hAnsi="Arial" w:cs="Arial"/>
          <w:color w:val="000000"/>
          <w:sz w:val="24"/>
          <w:szCs w:val="24"/>
        </w:rPr>
        <w:t xml:space="preserve">. </w:t>
      </w:r>
    </w:p>
    <w:p w14:paraId="539CBE1D" w14:textId="3F365140" w:rsidR="004057D0" w:rsidRPr="00E90B7C" w:rsidRDefault="004057D0" w:rsidP="008F5FFB">
      <w:pPr>
        <w:spacing w:after="0" w:line="276" w:lineRule="auto"/>
        <w:jc w:val="both"/>
        <w:textAlignment w:val="baseline"/>
        <w:rPr>
          <w:rFonts w:ascii="Arial" w:eastAsia="Times New Roman" w:hAnsi="Arial" w:cs="Arial"/>
          <w:color w:val="000000"/>
          <w:sz w:val="24"/>
          <w:szCs w:val="24"/>
        </w:rPr>
      </w:pPr>
    </w:p>
    <w:p w14:paraId="11E23B67" w14:textId="715BB6D3" w:rsidR="007E1C4B" w:rsidRPr="00E90B7C" w:rsidRDefault="00727911" w:rsidP="007E1C4B">
      <w:pPr>
        <w:spacing w:after="0" w:line="276" w:lineRule="auto"/>
        <w:rPr>
          <w:rFonts w:ascii="Gotham Book" w:eastAsia="Times New Roman" w:hAnsi="Gotham Book" w:cs="Arial"/>
          <w:b/>
          <w:bCs/>
          <w:color w:val="000000"/>
          <w:sz w:val="24"/>
          <w:szCs w:val="24"/>
        </w:rPr>
      </w:pPr>
      <w:r w:rsidRPr="00E90B7C">
        <w:rPr>
          <w:rFonts w:ascii="Gotham Book" w:eastAsia="Times New Roman" w:hAnsi="Gotham Book" w:cs="Arial"/>
          <w:b/>
          <w:bCs/>
          <w:color w:val="000000"/>
          <w:sz w:val="24"/>
          <w:szCs w:val="24"/>
        </w:rPr>
        <w:t>THE WEEK AHEA</w:t>
      </w:r>
      <w:r w:rsidR="007E1C4B" w:rsidRPr="00E90B7C">
        <w:rPr>
          <w:rFonts w:ascii="Gotham Book" w:eastAsia="Times New Roman" w:hAnsi="Gotham Book" w:cs="Arial"/>
          <w:b/>
          <w:bCs/>
          <w:color w:val="000000"/>
          <w:sz w:val="24"/>
          <w:szCs w:val="24"/>
        </w:rPr>
        <w:t>D</w:t>
      </w:r>
    </w:p>
    <w:p w14:paraId="6681AB18" w14:textId="178DAE09" w:rsidR="007E1C4B" w:rsidRPr="00E90B7C" w:rsidRDefault="007E1C4B" w:rsidP="007E1C4B">
      <w:pPr>
        <w:spacing w:after="0" w:line="276" w:lineRule="auto"/>
        <w:rPr>
          <w:rFonts w:ascii="Arial" w:eastAsia="Times New Roman" w:hAnsi="Arial" w:cs="Arial"/>
          <w:b/>
          <w:bCs/>
          <w:color w:val="000000"/>
          <w:sz w:val="24"/>
          <w:szCs w:val="24"/>
        </w:rPr>
      </w:pPr>
    </w:p>
    <w:p w14:paraId="5AACB5E9" w14:textId="6CC9EF76" w:rsidR="0081434B" w:rsidRDefault="0081434B" w:rsidP="00EB4D1C">
      <w:pPr>
        <w:pStyle w:val="ListParagraph"/>
        <w:numPr>
          <w:ilvl w:val="0"/>
          <w:numId w:val="1"/>
        </w:numPr>
        <w:spacing w:after="0" w:line="276" w:lineRule="auto"/>
        <w:rPr>
          <w:rFonts w:ascii="Arial" w:eastAsia="Times New Roman" w:hAnsi="Arial" w:cs="Arial"/>
          <w:color w:val="000000"/>
          <w:sz w:val="24"/>
          <w:szCs w:val="24"/>
        </w:rPr>
      </w:pPr>
      <w:r>
        <w:rPr>
          <w:rFonts w:ascii="Arial" w:eastAsia="Times New Roman" w:hAnsi="Arial" w:cs="Arial"/>
          <w:color w:val="000000"/>
          <w:sz w:val="24"/>
          <w:szCs w:val="24"/>
        </w:rPr>
        <w:t>Saudi Arabia releases consumer and producer prices for March on April 22</w:t>
      </w:r>
    </w:p>
    <w:p w14:paraId="66E6A84B" w14:textId="563F6FB1" w:rsidR="0062374B" w:rsidRPr="00E90B7C" w:rsidRDefault="00405CE7" w:rsidP="00EB4D1C">
      <w:pPr>
        <w:pStyle w:val="ListParagraph"/>
        <w:numPr>
          <w:ilvl w:val="0"/>
          <w:numId w:val="1"/>
        </w:numPr>
        <w:spacing w:after="0" w:line="276" w:lineRule="auto"/>
        <w:rPr>
          <w:rFonts w:ascii="Arial" w:eastAsia="Times New Roman" w:hAnsi="Arial" w:cs="Arial"/>
          <w:color w:val="000000"/>
          <w:sz w:val="24"/>
          <w:szCs w:val="24"/>
        </w:rPr>
      </w:pPr>
      <w:r w:rsidRPr="00E90B7C">
        <w:rPr>
          <w:rFonts w:ascii="Arial" w:eastAsia="Times New Roman" w:hAnsi="Arial" w:cs="Arial"/>
          <w:color w:val="000000"/>
          <w:sz w:val="24"/>
          <w:szCs w:val="24"/>
        </w:rPr>
        <w:t xml:space="preserve">U.S. </w:t>
      </w:r>
      <w:r w:rsidR="00AA1C36" w:rsidRPr="00E90B7C">
        <w:rPr>
          <w:rFonts w:ascii="Arial" w:eastAsia="Times New Roman" w:hAnsi="Arial" w:cs="Arial"/>
          <w:color w:val="000000"/>
          <w:sz w:val="24"/>
          <w:szCs w:val="24"/>
        </w:rPr>
        <w:t xml:space="preserve">releases </w:t>
      </w:r>
      <w:r w:rsidR="003A3076">
        <w:rPr>
          <w:rFonts w:ascii="Arial" w:eastAsia="Times New Roman" w:hAnsi="Arial" w:cs="Arial"/>
          <w:color w:val="000000"/>
          <w:sz w:val="24"/>
          <w:szCs w:val="24"/>
        </w:rPr>
        <w:t>PMI for April</w:t>
      </w:r>
      <w:r w:rsidR="00EE114F" w:rsidRPr="00E90B7C">
        <w:rPr>
          <w:rFonts w:ascii="Arial" w:eastAsia="Times New Roman" w:hAnsi="Arial" w:cs="Arial"/>
          <w:color w:val="000000"/>
          <w:sz w:val="24"/>
          <w:szCs w:val="24"/>
        </w:rPr>
        <w:t xml:space="preserve"> </w:t>
      </w:r>
      <w:r w:rsidRPr="00E90B7C">
        <w:rPr>
          <w:rFonts w:ascii="Arial" w:eastAsia="Times New Roman" w:hAnsi="Arial" w:cs="Arial"/>
          <w:color w:val="000000"/>
          <w:sz w:val="24"/>
          <w:szCs w:val="24"/>
        </w:rPr>
        <w:t xml:space="preserve">on April </w:t>
      </w:r>
      <w:r w:rsidR="003A3076">
        <w:rPr>
          <w:rFonts w:ascii="Arial" w:eastAsia="Times New Roman" w:hAnsi="Arial" w:cs="Arial"/>
          <w:color w:val="000000"/>
          <w:sz w:val="24"/>
          <w:szCs w:val="24"/>
        </w:rPr>
        <w:t>23</w:t>
      </w:r>
    </w:p>
    <w:p w14:paraId="6E965D19" w14:textId="0CB8F855" w:rsidR="004B0191" w:rsidRDefault="00C960DD" w:rsidP="00C960DD">
      <w:pPr>
        <w:pStyle w:val="ListParagraph"/>
        <w:numPr>
          <w:ilvl w:val="0"/>
          <w:numId w:val="1"/>
        </w:numPr>
        <w:spacing w:after="0" w:line="276" w:lineRule="auto"/>
        <w:rPr>
          <w:rFonts w:ascii="Arial" w:eastAsia="Times New Roman" w:hAnsi="Arial" w:cs="Arial"/>
          <w:color w:val="000000"/>
          <w:sz w:val="24"/>
          <w:szCs w:val="24"/>
        </w:rPr>
      </w:pPr>
      <w:r w:rsidRPr="00E90B7C">
        <w:rPr>
          <w:rFonts w:ascii="Arial" w:eastAsia="Times New Roman" w:hAnsi="Arial" w:cs="Arial"/>
          <w:color w:val="000000"/>
          <w:sz w:val="24"/>
          <w:szCs w:val="24"/>
        </w:rPr>
        <w:t xml:space="preserve">U.S. releases </w:t>
      </w:r>
      <w:r w:rsidR="00696C69">
        <w:rPr>
          <w:rFonts w:ascii="Arial" w:eastAsia="Times New Roman" w:hAnsi="Arial" w:cs="Arial"/>
          <w:color w:val="000000"/>
          <w:sz w:val="24"/>
          <w:szCs w:val="24"/>
        </w:rPr>
        <w:t>weekly jobless claims</w:t>
      </w:r>
      <w:r w:rsidRPr="00E90B7C">
        <w:rPr>
          <w:rFonts w:ascii="Arial" w:eastAsia="Times New Roman" w:hAnsi="Arial" w:cs="Arial"/>
          <w:color w:val="000000"/>
          <w:sz w:val="24"/>
          <w:szCs w:val="24"/>
        </w:rPr>
        <w:t xml:space="preserve"> on April </w:t>
      </w:r>
      <w:r w:rsidR="003A3076">
        <w:rPr>
          <w:rFonts w:ascii="Arial" w:eastAsia="Times New Roman" w:hAnsi="Arial" w:cs="Arial"/>
          <w:color w:val="000000"/>
          <w:sz w:val="24"/>
          <w:szCs w:val="24"/>
        </w:rPr>
        <w:t>2</w:t>
      </w:r>
      <w:r w:rsidR="00696C69">
        <w:rPr>
          <w:rFonts w:ascii="Arial" w:eastAsia="Times New Roman" w:hAnsi="Arial" w:cs="Arial"/>
          <w:color w:val="000000"/>
          <w:sz w:val="24"/>
          <w:szCs w:val="24"/>
        </w:rPr>
        <w:t>3</w:t>
      </w:r>
      <w:bookmarkStart w:id="1" w:name="_GoBack"/>
      <w:bookmarkEnd w:id="1"/>
    </w:p>
    <w:p w14:paraId="4F71B4DC" w14:textId="714B4E22" w:rsidR="0081434B" w:rsidRPr="00E90B7C" w:rsidRDefault="0081434B" w:rsidP="00C960DD">
      <w:pPr>
        <w:pStyle w:val="ListParagraph"/>
        <w:numPr>
          <w:ilvl w:val="0"/>
          <w:numId w:val="1"/>
        </w:numPr>
        <w:spacing w:after="0" w:line="276" w:lineRule="auto"/>
        <w:rPr>
          <w:rFonts w:ascii="Arial" w:eastAsia="Times New Roman" w:hAnsi="Arial" w:cs="Arial"/>
          <w:color w:val="000000"/>
          <w:sz w:val="24"/>
          <w:szCs w:val="24"/>
        </w:rPr>
      </w:pPr>
      <w:r>
        <w:rPr>
          <w:rFonts w:ascii="Arial" w:eastAsia="Times New Roman" w:hAnsi="Arial" w:cs="Arial"/>
          <w:color w:val="000000"/>
          <w:sz w:val="24"/>
          <w:szCs w:val="24"/>
        </w:rPr>
        <w:t>Saudi Arabia releases merchandise trade figures for February on April 25</w:t>
      </w:r>
    </w:p>
    <w:sectPr w:rsidR="0081434B" w:rsidRPr="00E90B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570F8" w14:textId="77777777" w:rsidR="00FE281D" w:rsidRDefault="00FE281D">
      <w:pPr>
        <w:spacing w:after="0" w:line="240" w:lineRule="auto"/>
      </w:pPr>
      <w:r>
        <w:separator/>
      </w:r>
    </w:p>
  </w:endnote>
  <w:endnote w:type="continuationSeparator" w:id="0">
    <w:p w14:paraId="4B94504B" w14:textId="77777777" w:rsidR="00FE281D" w:rsidRDefault="00FE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224985"/>
      <w:docPartObj>
        <w:docPartGallery w:val="Page Numbers (Bottom of Page)"/>
        <w:docPartUnique/>
      </w:docPartObj>
    </w:sdtPr>
    <w:sdtEndPr>
      <w:rPr>
        <w:noProof/>
      </w:rPr>
    </w:sdtEndPr>
    <w:sdtContent>
      <w:p w14:paraId="5493B1E4" w14:textId="5F7FAD58" w:rsidR="00FE281D" w:rsidRDefault="005B6403">
        <w:pPr>
          <w:pStyle w:val="Footer"/>
          <w:jc w:val="center"/>
        </w:pPr>
        <w:r>
          <w:fldChar w:fldCharType="begin"/>
        </w:r>
        <w:r>
          <w:instrText xml:space="preserve"> PAGE   \* MERGEFORMAT </w:instrText>
        </w:r>
        <w:r>
          <w:fldChar w:fldCharType="separate"/>
        </w:r>
        <w:r w:rsidR="00E30CB9">
          <w:rPr>
            <w:noProof/>
          </w:rPr>
          <w:t>1</w:t>
        </w:r>
        <w:r>
          <w:rPr>
            <w:noProof/>
          </w:rPr>
          <w:fldChar w:fldCharType="end"/>
        </w:r>
      </w:p>
    </w:sdtContent>
  </w:sdt>
  <w:p w14:paraId="411C4FDE" w14:textId="77777777" w:rsidR="00FE281D" w:rsidRDefault="00FE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42579" w14:textId="77777777" w:rsidR="00FE281D" w:rsidRDefault="00FE281D">
      <w:pPr>
        <w:spacing w:after="0" w:line="240" w:lineRule="auto"/>
      </w:pPr>
      <w:r>
        <w:separator/>
      </w:r>
    </w:p>
  </w:footnote>
  <w:footnote w:type="continuationSeparator" w:id="0">
    <w:p w14:paraId="2C9ECF60" w14:textId="77777777" w:rsidR="00FE281D" w:rsidRDefault="00FE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7EBE5" w14:textId="09DAF35A" w:rsidR="00FE281D" w:rsidRDefault="00C62B31" w:rsidP="00FE281D">
    <w:pPr>
      <w:ind w:left="-720"/>
      <w:jc w:val="center"/>
      <w:rPr>
        <w:rFonts w:ascii="Franklin Gothic Medium Cond" w:hAnsi="Franklin Gothic Medium Cond"/>
        <w:sz w:val="26"/>
        <w:szCs w:val="26"/>
        <w:lang w:val="en-CA"/>
      </w:rPr>
    </w:pPr>
    <w:r>
      <w:rPr>
        <w:noProof/>
      </w:rPr>
      <w:drawing>
        <wp:anchor distT="0" distB="0" distL="114300" distR="114300" simplePos="0" relativeHeight="251658240" behindDoc="1" locked="0" layoutInCell="1" allowOverlap="1" wp14:anchorId="583A2C57" wp14:editId="7B3EE36C">
          <wp:simplePos x="0" y="0"/>
          <wp:positionH relativeFrom="margin">
            <wp:posOffset>1876425</wp:posOffset>
          </wp:positionH>
          <wp:positionV relativeFrom="paragraph">
            <wp:posOffset>-28575</wp:posOffset>
          </wp:positionV>
          <wp:extent cx="2276475" cy="1414780"/>
          <wp:effectExtent l="0" t="0" r="9525" b="0"/>
          <wp:wrapTight wrapText="bothSides">
            <wp:wrapPolygon edited="0">
              <wp:start x="8676" y="0"/>
              <wp:lineTo x="7230" y="1163"/>
              <wp:lineTo x="6507" y="2908"/>
              <wp:lineTo x="6869" y="4654"/>
              <wp:lineTo x="6146" y="9307"/>
              <wp:lineTo x="6146" y="10470"/>
              <wp:lineTo x="9761" y="13961"/>
              <wp:lineTo x="0" y="14542"/>
              <wp:lineTo x="0" y="16869"/>
              <wp:lineTo x="1265" y="18614"/>
              <wp:lineTo x="0" y="19777"/>
              <wp:lineTo x="0" y="21232"/>
              <wp:lineTo x="6869" y="21232"/>
              <wp:lineTo x="21510" y="20941"/>
              <wp:lineTo x="21510" y="18905"/>
              <wp:lineTo x="19702" y="18614"/>
              <wp:lineTo x="21510" y="17160"/>
              <wp:lineTo x="21510" y="14542"/>
              <wp:lineTo x="11749" y="13961"/>
              <wp:lineTo x="14822" y="10180"/>
              <wp:lineTo x="14822" y="9307"/>
              <wp:lineTo x="13556" y="4654"/>
              <wp:lineTo x="14460" y="3199"/>
              <wp:lineTo x="13918" y="1163"/>
              <wp:lineTo x="12291" y="0"/>
              <wp:lineTo x="86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15788" w14:textId="015E40E5" w:rsidR="00FE281D" w:rsidRDefault="00FE281D" w:rsidP="00FE281D">
    <w:pPr>
      <w:ind w:left="-720"/>
      <w:jc w:val="center"/>
      <w:rPr>
        <w:rFonts w:ascii="Franklin Gothic Medium Cond" w:hAnsi="Franklin Gothic Medium Cond"/>
        <w:sz w:val="26"/>
        <w:szCs w:val="26"/>
        <w:lang w:val="en-CA"/>
      </w:rPr>
    </w:pPr>
  </w:p>
  <w:p w14:paraId="0A37BDBF" w14:textId="6DC3C149" w:rsidR="00FE281D" w:rsidRDefault="005B6403" w:rsidP="00FE281D">
    <w:pPr>
      <w:ind w:left="-720"/>
      <w:rPr>
        <w:rFonts w:ascii="Franklin Gothic Medium Cond" w:hAnsi="Franklin Gothic Medium Cond"/>
        <w:sz w:val="26"/>
        <w:szCs w:val="26"/>
        <w:lang w:val="en-CA"/>
      </w:rPr>
    </w:pPr>
    <w:r>
      <w:rPr>
        <w:rFonts w:ascii="Franklin Gothic Medium Cond" w:hAnsi="Franklin Gothic Medium Cond"/>
        <w:sz w:val="26"/>
        <w:szCs w:val="26"/>
        <w:lang w:val="en-CA"/>
      </w:rPr>
      <w:t xml:space="preserve">              </w:t>
    </w:r>
  </w:p>
  <w:p w14:paraId="17770ADA" w14:textId="77777777" w:rsidR="00FE281D" w:rsidRDefault="00FE281D" w:rsidP="00FE281D">
    <w:pPr>
      <w:ind w:left="-720"/>
      <w:rPr>
        <w:rFonts w:ascii="Franklin Gothic Medium Cond" w:hAnsi="Franklin Gothic Medium Cond"/>
        <w:sz w:val="26"/>
        <w:szCs w:val="26"/>
        <w:lang w:val="en-CA"/>
      </w:rPr>
    </w:pPr>
  </w:p>
  <w:p w14:paraId="7C183086" w14:textId="77777777" w:rsidR="00FE281D" w:rsidRDefault="005B6403" w:rsidP="00FE281D">
    <w:pPr>
      <w:rPr>
        <w:rFonts w:ascii="Franklin Gothic Medium Cond" w:hAnsi="Franklin Gothic Medium Cond"/>
        <w:sz w:val="26"/>
        <w:szCs w:val="26"/>
        <w:lang w:val="en-CA"/>
      </w:rPr>
    </w:pPr>
    <w:r>
      <w:rPr>
        <w:rFonts w:ascii="Franklin Gothic Medium Cond" w:hAnsi="Franklin Gothic Medium Cond"/>
        <w:sz w:val="26"/>
        <w:szCs w:val="26"/>
        <w:lang w:val="en-CA"/>
      </w:rPr>
      <w:t>______________________________________________________________________</w:t>
    </w:r>
  </w:p>
  <w:p w14:paraId="470A7778" w14:textId="77777777" w:rsidR="00FE281D" w:rsidRDefault="00FE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A7F"/>
    <w:multiLevelType w:val="hybridMultilevel"/>
    <w:tmpl w:val="CD12D094"/>
    <w:lvl w:ilvl="0" w:tplc="F0021988">
      <w:start w:val="2"/>
      <w:numFmt w:val="bullet"/>
      <w:lvlText w:val=""/>
      <w:lvlJc w:val="left"/>
      <w:pPr>
        <w:ind w:left="1080" w:hanging="360"/>
      </w:pPr>
      <w:rPr>
        <w:rFonts w:ascii="Symbol" w:eastAsiaTheme="minorHAnsi" w:hAnsi="Symbol" w:cs="Times New Roman" w:hint="default"/>
        <w:color w:val="0563C1" w:themeColor="hyperlink"/>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26929"/>
    <w:multiLevelType w:val="hybridMultilevel"/>
    <w:tmpl w:val="1056FB7E"/>
    <w:lvl w:ilvl="0" w:tplc="04090001">
      <w:start w:val="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02D5"/>
    <w:multiLevelType w:val="multilevel"/>
    <w:tmpl w:val="9DA2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E0546"/>
    <w:multiLevelType w:val="hybridMultilevel"/>
    <w:tmpl w:val="874E5AC8"/>
    <w:lvl w:ilvl="0" w:tplc="21EA60C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769A6"/>
    <w:multiLevelType w:val="hybridMultilevel"/>
    <w:tmpl w:val="87BC98BC"/>
    <w:lvl w:ilvl="0" w:tplc="BD808A9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2C3E"/>
    <w:multiLevelType w:val="multilevel"/>
    <w:tmpl w:val="E220A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B3637"/>
    <w:multiLevelType w:val="hybridMultilevel"/>
    <w:tmpl w:val="A580C6BC"/>
    <w:lvl w:ilvl="0" w:tplc="D62CD8F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06030"/>
    <w:multiLevelType w:val="hybridMultilevel"/>
    <w:tmpl w:val="2B0CE8A2"/>
    <w:lvl w:ilvl="0" w:tplc="9D9A96AE">
      <w:start w:val="21"/>
      <w:numFmt w:val="bullet"/>
      <w:lvlText w:val=""/>
      <w:lvlJc w:val="left"/>
      <w:pPr>
        <w:ind w:left="720" w:hanging="360"/>
      </w:pPr>
      <w:rPr>
        <w:rFonts w:ascii="Symbol" w:eastAsia="Calibri" w:hAnsi="Symbol" w:cs="Times New Roman" w:hint="default"/>
        <w:b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C522F"/>
    <w:multiLevelType w:val="hybridMultilevel"/>
    <w:tmpl w:val="4B54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D7858"/>
    <w:multiLevelType w:val="hybridMultilevel"/>
    <w:tmpl w:val="AAC61BD4"/>
    <w:lvl w:ilvl="0" w:tplc="7FFC81B0">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AD0052"/>
    <w:multiLevelType w:val="hybridMultilevel"/>
    <w:tmpl w:val="0882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E43FD"/>
    <w:multiLevelType w:val="hybridMultilevel"/>
    <w:tmpl w:val="0496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F57F2"/>
    <w:multiLevelType w:val="hybridMultilevel"/>
    <w:tmpl w:val="F6F81482"/>
    <w:lvl w:ilvl="0" w:tplc="FE56ECE6">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753A3"/>
    <w:multiLevelType w:val="hybridMultilevel"/>
    <w:tmpl w:val="46D603CA"/>
    <w:lvl w:ilvl="0" w:tplc="5C463F06">
      <w:start w:val="2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A5E9D"/>
    <w:multiLevelType w:val="hybridMultilevel"/>
    <w:tmpl w:val="8D349ADE"/>
    <w:lvl w:ilvl="0" w:tplc="2BEA1B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5151D"/>
    <w:multiLevelType w:val="multilevel"/>
    <w:tmpl w:val="5844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B5784"/>
    <w:multiLevelType w:val="hybridMultilevel"/>
    <w:tmpl w:val="E11A2E5A"/>
    <w:lvl w:ilvl="0" w:tplc="E7DC5FAC">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00EE6"/>
    <w:multiLevelType w:val="hybridMultilevel"/>
    <w:tmpl w:val="7E700168"/>
    <w:lvl w:ilvl="0" w:tplc="0BF07972">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62011"/>
    <w:multiLevelType w:val="hybridMultilevel"/>
    <w:tmpl w:val="DA242996"/>
    <w:lvl w:ilvl="0" w:tplc="B93E15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828FA"/>
    <w:multiLevelType w:val="hybridMultilevel"/>
    <w:tmpl w:val="F60A81AC"/>
    <w:lvl w:ilvl="0" w:tplc="579A314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27DAE"/>
    <w:multiLevelType w:val="hybridMultilevel"/>
    <w:tmpl w:val="B1049AB8"/>
    <w:lvl w:ilvl="0" w:tplc="AC62A994">
      <w:start w:val="21"/>
      <w:numFmt w:val="bullet"/>
      <w:lvlText w:val=""/>
      <w:lvlJc w:val="left"/>
      <w:pPr>
        <w:ind w:left="720" w:hanging="360"/>
      </w:pPr>
      <w:rPr>
        <w:rFonts w:ascii="Symbol" w:eastAsia="Calibri" w:hAnsi="Symbol"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95C27"/>
    <w:multiLevelType w:val="multilevel"/>
    <w:tmpl w:val="184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D1781"/>
    <w:multiLevelType w:val="hybridMultilevel"/>
    <w:tmpl w:val="3698BC0A"/>
    <w:lvl w:ilvl="0" w:tplc="558E88F2">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20366"/>
    <w:multiLevelType w:val="hybridMultilevel"/>
    <w:tmpl w:val="A75C035A"/>
    <w:lvl w:ilvl="0" w:tplc="04090001">
      <w:start w:val="201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B77357"/>
    <w:multiLevelType w:val="hybridMultilevel"/>
    <w:tmpl w:val="FE86EB3C"/>
    <w:lvl w:ilvl="0" w:tplc="DBB8E1DA">
      <w:start w:val="2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2A10E6"/>
    <w:multiLevelType w:val="hybridMultilevel"/>
    <w:tmpl w:val="0BE6BDF4"/>
    <w:lvl w:ilvl="0" w:tplc="E7DC5FAC">
      <w:start w:val="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881D9B"/>
    <w:multiLevelType w:val="multilevel"/>
    <w:tmpl w:val="05DC4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31458"/>
    <w:multiLevelType w:val="hybridMultilevel"/>
    <w:tmpl w:val="B6EC21BA"/>
    <w:lvl w:ilvl="0" w:tplc="A1A498C2">
      <w:start w:val="21"/>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7"/>
  </w:num>
  <w:num w:numId="4">
    <w:abstractNumId w:val="11"/>
  </w:num>
  <w:num w:numId="5">
    <w:abstractNumId w:val="20"/>
  </w:num>
  <w:num w:numId="6">
    <w:abstractNumId w:val="17"/>
  </w:num>
  <w:num w:numId="7">
    <w:abstractNumId w:val="2"/>
  </w:num>
  <w:num w:numId="8">
    <w:abstractNumId w:val="21"/>
  </w:num>
  <w:num w:numId="9">
    <w:abstractNumId w:val="15"/>
  </w:num>
  <w:num w:numId="10">
    <w:abstractNumId w:val="24"/>
  </w:num>
  <w:num w:numId="11">
    <w:abstractNumId w:val="3"/>
  </w:num>
  <w:num w:numId="12">
    <w:abstractNumId w:val="4"/>
  </w:num>
  <w:num w:numId="13">
    <w:abstractNumId w:val="0"/>
  </w:num>
  <w:num w:numId="14">
    <w:abstractNumId w:val="12"/>
  </w:num>
  <w:num w:numId="15">
    <w:abstractNumId w:val="13"/>
  </w:num>
  <w:num w:numId="16">
    <w:abstractNumId w:val="22"/>
  </w:num>
  <w:num w:numId="17">
    <w:abstractNumId w:val="27"/>
  </w:num>
  <w:num w:numId="18">
    <w:abstractNumId w:val="14"/>
  </w:num>
  <w:num w:numId="19">
    <w:abstractNumId w:val="18"/>
  </w:num>
  <w:num w:numId="20">
    <w:abstractNumId w:val="6"/>
  </w:num>
  <w:num w:numId="21">
    <w:abstractNumId w:val="19"/>
  </w:num>
  <w:num w:numId="22">
    <w:abstractNumId w:val="23"/>
  </w:num>
  <w:num w:numId="23">
    <w:abstractNumId w:val="1"/>
  </w:num>
  <w:num w:numId="24">
    <w:abstractNumId w:val="9"/>
  </w:num>
  <w:num w:numId="25">
    <w:abstractNumId w:val="16"/>
  </w:num>
  <w:num w:numId="26">
    <w:abstractNumId w:val="25"/>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11"/>
    <w:rsid w:val="000013F9"/>
    <w:rsid w:val="00001A87"/>
    <w:rsid w:val="00001EC8"/>
    <w:rsid w:val="00003517"/>
    <w:rsid w:val="000037EB"/>
    <w:rsid w:val="00004B51"/>
    <w:rsid w:val="00006F5B"/>
    <w:rsid w:val="000073CF"/>
    <w:rsid w:val="00007B03"/>
    <w:rsid w:val="0001111C"/>
    <w:rsid w:val="000125C7"/>
    <w:rsid w:val="0001503D"/>
    <w:rsid w:val="00015AD8"/>
    <w:rsid w:val="00015D7F"/>
    <w:rsid w:val="00016076"/>
    <w:rsid w:val="000165A0"/>
    <w:rsid w:val="0001707E"/>
    <w:rsid w:val="000172A6"/>
    <w:rsid w:val="000213F0"/>
    <w:rsid w:val="000226F6"/>
    <w:rsid w:val="00023270"/>
    <w:rsid w:val="000247A4"/>
    <w:rsid w:val="000250A0"/>
    <w:rsid w:val="00025FA0"/>
    <w:rsid w:val="0002741C"/>
    <w:rsid w:val="00027E7A"/>
    <w:rsid w:val="0003049D"/>
    <w:rsid w:val="0003189F"/>
    <w:rsid w:val="00031F44"/>
    <w:rsid w:val="00031F47"/>
    <w:rsid w:val="00032638"/>
    <w:rsid w:val="00032CAD"/>
    <w:rsid w:val="00033188"/>
    <w:rsid w:val="000346CC"/>
    <w:rsid w:val="0004015A"/>
    <w:rsid w:val="00040D03"/>
    <w:rsid w:val="00043B5F"/>
    <w:rsid w:val="0004443C"/>
    <w:rsid w:val="00047C85"/>
    <w:rsid w:val="000507B1"/>
    <w:rsid w:val="00050F7C"/>
    <w:rsid w:val="000512C9"/>
    <w:rsid w:val="00051A49"/>
    <w:rsid w:val="000526BA"/>
    <w:rsid w:val="00052B55"/>
    <w:rsid w:val="000535F6"/>
    <w:rsid w:val="0005497D"/>
    <w:rsid w:val="0005533C"/>
    <w:rsid w:val="00055B00"/>
    <w:rsid w:val="00057E0C"/>
    <w:rsid w:val="00060544"/>
    <w:rsid w:val="00061683"/>
    <w:rsid w:val="000625A9"/>
    <w:rsid w:val="00062731"/>
    <w:rsid w:val="00062C5E"/>
    <w:rsid w:val="00062D8E"/>
    <w:rsid w:val="00062DB5"/>
    <w:rsid w:val="000633F5"/>
    <w:rsid w:val="00063F57"/>
    <w:rsid w:val="00064EFB"/>
    <w:rsid w:val="0006538E"/>
    <w:rsid w:val="0006539C"/>
    <w:rsid w:val="00065FED"/>
    <w:rsid w:val="00066B03"/>
    <w:rsid w:val="00067A95"/>
    <w:rsid w:val="00067DFB"/>
    <w:rsid w:val="00070749"/>
    <w:rsid w:val="000711F7"/>
    <w:rsid w:val="000719C6"/>
    <w:rsid w:val="00073F21"/>
    <w:rsid w:val="00080F0C"/>
    <w:rsid w:val="000814B4"/>
    <w:rsid w:val="00081E6F"/>
    <w:rsid w:val="00081FD4"/>
    <w:rsid w:val="00083D90"/>
    <w:rsid w:val="0008503F"/>
    <w:rsid w:val="0008531A"/>
    <w:rsid w:val="00085902"/>
    <w:rsid w:val="000861DC"/>
    <w:rsid w:val="00086482"/>
    <w:rsid w:val="00086DD6"/>
    <w:rsid w:val="00087A53"/>
    <w:rsid w:val="00091315"/>
    <w:rsid w:val="000915DC"/>
    <w:rsid w:val="00091B8B"/>
    <w:rsid w:val="00092388"/>
    <w:rsid w:val="00093504"/>
    <w:rsid w:val="00093A10"/>
    <w:rsid w:val="00094529"/>
    <w:rsid w:val="0009490F"/>
    <w:rsid w:val="000957F2"/>
    <w:rsid w:val="000A15EA"/>
    <w:rsid w:val="000A1969"/>
    <w:rsid w:val="000A1E1E"/>
    <w:rsid w:val="000A2C25"/>
    <w:rsid w:val="000A30BB"/>
    <w:rsid w:val="000A3776"/>
    <w:rsid w:val="000A4D7B"/>
    <w:rsid w:val="000A5E10"/>
    <w:rsid w:val="000B01A5"/>
    <w:rsid w:val="000B0E38"/>
    <w:rsid w:val="000B14B8"/>
    <w:rsid w:val="000B23CF"/>
    <w:rsid w:val="000B2BF4"/>
    <w:rsid w:val="000B33FE"/>
    <w:rsid w:val="000B3CF8"/>
    <w:rsid w:val="000B433C"/>
    <w:rsid w:val="000B459F"/>
    <w:rsid w:val="000B5497"/>
    <w:rsid w:val="000B603A"/>
    <w:rsid w:val="000B608E"/>
    <w:rsid w:val="000B7E24"/>
    <w:rsid w:val="000C2811"/>
    <w:rsid w:val="000C2B29"/>
    <w:rsid w:val="000C2FA7"/>
    <w:rsid w:val="000C3DBD"/>
    <w:rsid w:val="000C51C6"/>
    <w:rsid w:val="000C7110"/>
    <w:rsid w:val="000C78B7"/>
    <w:rsid w:val="000D0007"/>
    <w:rsid w:val="000D015D"/>
    <w:rsid w:val="000D0241"/>
    <w:rsid w:val="000D355F"/>
    <w:rsid w:val="000D3D1D"/>
    <w:rsid w:val="000D40CF"/>
    <w:rsid w:val="000E095E"/>
    <w:rsid w:val="000E2C90"/>
    <w:rsid w:val="000E404E"/>
    <w:rsid w:val="000E5A5F"/>
    <w:rsid w:val="000E665C"/>
    <w:rsid w:val="000F27C5"/>
    <w:rsid w:val="000F280F"/>
    <w:rsid w:val="000F3FCC"/>
    <w:rsid w:val="000F41C1"/>
    <w:rsid w:val="000F45BE"/>
    <w:rsid w:val="000F4780"/>
    <w:rsid w:val="000F68BE"/>
    <w:rsid w:val="000F72A9"/>
    <w:rsid w:val="000F78E5"/>
    <w:rsid w:val="00101856"/>
    <w:rsid w:val="0010323E"/>
    <w:rsid w:val="0010359F"/>
    <w:rsid w:val="00103E82"/>
    <w:rsid w:val="0010436B"/>
    <w:rsid w:val="00104EC9"/>
    <w:rsid w:val="00105BCC"/>
    <w:rsid w:val="0010629C"/>
    <w:rsid w:val="00106B95"/>
    <w:rsid w:val="00111182"/>
    <w:rsid w:val="001111D0"/>
    <w:rsid w:val="00111DBB"/>
    <w:rsid w:val="00112035"/>
    <w:rsid w:val="0011224F"/>
    <w:rsid w:val="00114512"/>
    <w:rsid w:val="001154D7"/>
    <w:rsid w:val="00115DB2"/>
    <w:rsid w:val="00116D52"/>
    <w:rsid w:val="001203A0"/>
    <w:rsid w:val="001234D3"/>
    <w:rsid w:val="00123537"/>
    <w:rsid w:val="00123A6C"/>
    <w:rsid w:val="00123CD9"/>
    <w:rsid w:val="00124584"/>
    <w:rsid w:val="00124862"/>
    <w:rsid w:val="0012562F"/>
    <w:rsid w:val="00126693"/>
    <w:rsid w:val="0012684C"/>
    <w:rsid w:val="00127107"/>
    <w:rsid w:val="00127770"/>
    <w:rsid w:val="00127877"/>
    <w:rsid w:val="00127A30"/>
    <w:rsid w:val="00130DAE"/>
    <w:rsid w:val="00131122"/>
    <w:rsid w:val="00132900"/>
    <w:rsid w:val="00132A6C"/>
    <w:rsid w:val="00132CFA"/>
    <w:rsid w:val="00135FC5"/>
    <w:rsid w:val="00136A26"/>
    <w:rsid w:val="00137204"/>
    <w:rsid w:val="0014030E"/>
    <w:rsid w:val="00140977"/>
    <w:rsid w:val="0014173B"/>
    <w:rsid w:val="0014233E"/>
    <w:rsid w:val="0014252E"/>
    <w:rsid w:val="001427DA"/>
    <w:rsid w:val="001428C5"/>
    <w:rsid w:val="00143A85"/>
    <w:rsid w:val="0014403A"/>
    <w:rsid w:val="00144F45"/>
    <w:rsid w:val="00146877"/>
    <w:rsid w:val="00150300"/>
    <w:rsid w:val="00152016"/>
    <w:rsid w:val="001537D6"/>
    <w:rsid w:val="00153A6E"/>
    <w:rsid w:val="00155D81"/>
    <w:rsid w:val="001572B9"/>
    <w:rsid w:val="00157750"/>
    <w:rsid w:val="00157CAD"/>
    <w:rsid w:val="00160340"/>
    <w:rsid w:val="001613E8"/>
    <w:rsid w:val="001615B7"/>
    <w:rsid w:val="00162694"/>
    <w:rsid w:val="0017041D"/>
    <w:rsid w:val="00170888"/>
    <w:rsid w:val="00172FD1"/>
    <w:rsid w:val="001749BC"/>
    <w:rsid w:val="00176476"/>
    <w:rsid w:val="00177695"/>
    <w:rsid w:val="00177848"/>
    <w:rsid w:val="0018053C"/>
    <w:rsid w:val="00180A2E"/>
    <w:rsid w:val="00180E3D"/>
    <w:rsid w:val="00181E82"/>
    <w:rsid w:val="0018234E"/>
    <w:rsid w:val="00183AC7"/>
    <w:rsid w:val="00187D63"/>
    <w:rsid w:val="0019059C"/>
    <w:rsid w:val="00190790"/>
    <w:rsid w:val="00190D5C"/>
    <w:rsid w:val="00190F2E"/>
    <w:rsid w:val="00191C75"/>
    <w:rsid w:val="001923C7"/>
    <w:rsid w:val="001940E4"/>
    <w:rsid w:val="00194E8E"/>
    <w:rsid w:val="001973E4"/>
    <w:rsid w:val="001975E5"/>
    <w:rsid w:val="001A0069"/>
    <w:rsid w:val="001A1059"/>
    <w:rsid w:val="001A10CF"/>
    <w:rsid w:val="001A2DA3"/>
    <w:rsid w:val="001A3C61"/>
    <w:rsid w:val="001A40BB"/>
    <w:rsid w:val="001A6252"/>
    <w:rsid w:val="001B3916"/>
    <w:rsid w:val="001B4C80"/>
    <w:rsid w:val="001B5B91"/>
    <w:rsid w:val="001B6E01"/>
    <w:rsid w:val="001B7246"/>
    <w:rsid w:val="001C02EB"/>
    <w:rsid w:val="001C07A1"/>
    <w:rsid w:val="001C18C3"/>
    <w:rsid w:val="001C3319"/>
    <w:rsid w:val="001C3386"/>
    <w:rsid w:val="001C5C13"/>
    <w:rsid w:val="001C7F4A"/>
    <w:rsid w:val="001D0791"/>
    <w:rsid w:val="001D0886"/>
    <w:rsid w:val="001D0FE7"/>
    <w:rsid w:val="001D22C4"/>
    <w:rsid w:val="001D2A93"/>
    <w:rsid w:val="001D5B26"/>
    <w:rsid w:val="001D5ED2"/>
    <w:rsid w:val="001D6420"/>
    <w:rsid w:val="001D65D0"/>
    <w:rsid w:val="001D7B59"/>
    <w:rsid w:val="001E0E2A"/>
    <w:rsid w:val="001E2801"/>
    <w:rsid w:val="001E2FCA"/>
    <w:rsid w:val="001E3DC1"/>
    <w:rsid w:val="001E4767"/>
    <w:rsid w:val="001E4DC1"/>
    <w:rsid w:val="001E4E2A"/>
    <w:rsid w:val="001E53EE"/>
    <w:rsid w:val="001E62C4"/>
    <w:rsid w:val="001E65E4"/>
    <w:rsid w:val="001E6B3F"/>
    <w:rsid w:val="001F01E5"/>
    <w:rsid w:val="001F1DCF"/>
    <w:rsid w:val="001F1E83"/>
    <w:rsid w:val="001F32EA"/>
    <w:rsid w:val="001F3F72"/>
    <w:rsid w:val="001F412E"/>
    <w:rsid w:val="001F54A4"/>
    <w:rsid w:val="001F5FDC"/>
    <w:rsid w:val="001F60A4"/>
    <w:rsid w:val="001F6809"/>
    <w:rsid w:val="001F766F"/>
    <w:rsid w:val="001F7763"/>
    <w:rsid w:val="001F7C53"/>
    <w:rsid w:val="002002AA"/>
    <w:rsid w:val="00200F8A"/>
    <w:rsid w:val="0020197B"/>
    <w:rsid w:val="00201C1B"/>
    <w:rsid w:val="002036E6"/>
    <w:rsid w:val="00203841"/>
    <w:rsid w:val="00203D8D"/>
    <w:rsid w:val="00203FB0"/>
    <w:rsid w:val="00204171"/>
    <w:rsid w:val="00204B30"/>
    <w:rsid w:val="0020602D"/>
    <w:rsid w:val="0020760C"/>
    <w:rsid w:val="0020762E"/>
    <w:rsid w:val="0021139B"/>
    <w:rsid w:val="00212D0A"/>
    <w:rsid w:val="002161D8"/>
    <w:rsid w:val="00216739"/>
    <w:rsid w:val="0021734C"/>
    <w:rsid w:val="002204F3"/>
    <w:rsid w:val="002205AD"/>
    <w:rsid w:val="00222605"/>
    <w:rsid w:val="00222EC7"/>
    <w:rsid w:val="00224A18"/>
    <w:rsid w:val="00224FDC"/>
    <w:rsid w:val="00225FE2"/>
    <w:rsid w:val="00226BA2"/>
    <w:rsid w:val="0023031E"/>
    <w:rsid w:val="0023065D"/>
    <w:rsid w:val="00230C51"/>
    <w:rsid w:val="0023128E"/>
    <w:rsid w:val="0023176E"/>
    <w:rsid w:val="00232BA9"/>
    <w:rsid w:val="00232C9E"/>
    <w:rsid w:val="00233261"/>
    <w:rsid w:val="00233569"/>
    <w:rsid w:val="00234E3B"/>
    <w:rsid w:val="00236497"/>
    <w:rsid w:val="002365CF"/>
    <w:rsid w:val="00240A26"/>
    <w:rsid w:val="002437FF"/>
    <w:rsid w:val="00245162"/>
    <w:rsid w:val="002453E7"/>
    <w:rsid w:val="00245645"/>
    <w:rsid w:val="00250728"/>
    <w:rsid w:val="002514CC"/>
    <w:rsid w:val="00252C04"/>
    <w:rsid w:val="002531D8"/>
    <w:rsid w:val="00261470"/>
    <w:rsid w:val="00261B60"/>
    <w:rsid w:val="00261FD2"/>
    <w:rsid w:val="00262400"/>
    <w:rsid w:val="00262B4B"/>
    <w:rsid w:val="002640B8"/>
    <w:rsid w:val="002646A7"/>
    <w:rsid w:val="00264C71"/>
    <w:rsid w:val="00264FD0"/>
    <w:rsid w:val="002666BD"/>
    <w:rsid w:val="00267401"/>
    <w:rsid w:val="002704FB"/>
    <w:rsid w:val="002722AB"/>
    <w:rsid w:val="002736AF"/>
    <w:rsid w:val="002741D5"/>
    <w:rsid w:val="00274268"/>
    <w:rsid w:val="00274F1E"/>
    <w:rsid w:val="00276107"/>
    <w:rsid w:val="00276322"/>
    <w:rsid w:val="00276B1E"/>
    <w:rsid w:val="00277A30"/>
    <w:rsid w:val="00280055"/>
    <w:rsid w:val="002811A0"/>
    <w:rsid w:val="00281665"/>
    <w:rsid w:val="002843E0"/>
    <w:rsid w:val="00284BB2"/>
    <w:rsid w:val="00285AE7"/>
    <w:rsid w:val="002909AA"/>
    <w:rsid w:val="002932FC"/>
    <w:rsid w:val="002938B9"/>
    <w:rsid w:val="002958F3"/>
    <w:rsid w:val="00295C02"/>
    <w:rsid w:val="00296017"/>
    <w:rsid w:val="0029725E"/>
    <w:rsid w:val="002A3C8A"/>
    <w:rsid w:val="002A5CA2"/>
    <w:rsid w:val="002A660C"/>
    <w:rsid w:val="002A67F4"/>
    <w:rsid w:val="002A6F88"/>
    <w:rsid w:val="002B0979"/>
    <w:rsid w:val="002B114F"/>
    <w:rsid w:val="002B1B03"/>
    <w:rsid w:val="002B3E7C"/>
    <w:rsid w:val="002B5BCA"/>
    <w:rsid w:val="002C0B11"/>
    <w:rsid w:val="002C1518"/>
    <w:rsid w:val="002C2097"/>
    <w:rsid w:val="002C334B"/>
    <w:rsid w:val="002C4EBF"/>
    <w:rsid w:val="002D130C"/>
    <w:rsid w:val="002D17B8"/>
    <w:rsid w:val="002D1834"/>
    <w:rsid w:val="002D1E2B"/>
    <w:rsid w:val="002D24D1"/>
    <w:rsid w:val="002D27E7"/>
    <w:rsid w:val="002D5761"/>
    <w:rsid w:val="002D5C77"/>
    <w:rsid w:val="002D5D78"/>
    <w:rsid w:val="002D611C"/>
    <w:rsid w:val="002D649B"/>
    <w:rsid w:val="002D66A8"/>
    <w:rsid w:val="002D6A0B"/>
    <w:rsid w:val="002D761F"/>
    <w:rsid w:val="002D7687"/>
    <w:rsid w:val="002E1B85"/>
    <w:rsid w:val="002E1D51"/>
    <w:rsid w:val="002E3C0B"/>
    <w:rsid w:val="002E3E02"/>
    <w:rsid w:val="002E4375"/>
    <w:rsid w:val="002E46B8"/>
    <w:rsid w:val="002E472E"/>
    <w:rsid w:val="002E5EFF"/>
    <w:rsid w:val="002E60A9"/>
    <w:rsid w:val="002E739B"/>
    <w:rsid w:val="002E7A14"/>
    <w:rsid w:val="002F06D6"/>
    <w:rsid w:val="002F08AE"/>
    <w:rsid w:val="002F0CEC"/>
    <w:rsid w:val="002F1BE3"/>
    <w:rsid w:val="002F3846"/>
    <w:rsid w:val="002F3E8F"/>
    <w:rsid w:val="002F5A3C"/>
    <w:rsid w:val="002F5F53"/>
    <w:rsid w:val="00300764"/>
    <w:rsid w:val="00301173"/>
    <w:rsid w:val="00301302"/>
    <w:rsid w:val="00302944"/>
    <w:rsid w:val="00302FD7"/>
    <w:rsid w:val="003039EA"/>
    <w:rsid w:val="003041C2"/>
    <w:rsid w:val="00305698"/>
    <w:rsid w:val="003107C2"/>
    <w:rsid w:val="0031109B"/>
    <w:rsid w:val="0031120B"/>
    <w:rsid w:val="00311542"/>
    <w:rsid w:val="00311C9A"/>
    <w:rsid w:val="003124DA"/>
    <w:rsid w:val="003128BE"/>
    <w:rsid w:val="00316B7C"/>
    <w:rsid w:val="00316F37"/>
    <w:rsid w:val="00317273"/>
    <w:rsid w:val="003216E6"/>
    <w:rsid w:val="00321F4E"/>
    <w:rsid w:val="00322EA5"/>
    <w:rsid w:val="003235A3"/>
    <w:rsid w:val="00324A5A"/>
    <w:rsid w:val="00325FA5"/>
    <w:rsid w:val="003261D6"/>
    <w:rsid w:val="0032688E"/>
    <w:rsid w:val="00326B30"/>
    <w:rsid w:val="00326C5B"/>
    <w:rsid w:val="00326DB5"/>
    <w:rsid w:val="0032734E"/>
    <w:rsid w:val="00327402"/>
    <w:rsid w:val="00327C23"/>
    <w:rsid w:val="0033104D"/>
    <w:rsid w:val="0033114C"/>
    <w:rsid w:val="0033122A"/>
    <w:rsid w:val="00331B63"/>
    <w:rsid w:val="00332322"/>
    <w:rsid w:val="00333579"/>
    <w:rsid w:val="00333D88"/>
    <w:rsid w:val="003344DC"/>
    <w:rsid w:val="0033696A"/>
    <w:rsid w:val="0033775B"/>
    <w:rsid w:val="00337A8B"/>
    <w:rsid w:val="00340FCE"/>
    <w:rsid w:val="00342D9D"/>
    <w:rsid w:val="0034577C"/>
    <w:rsid w:val="003476B9"/>
    <w:rsid w:val="003504E9"/>
    <w:rsid w:val="003510E7"/>
    <w:rsid w:val="0035405B"/>
    <w:rsid w:val="003546AD"/>
    <w:rsid w:val="003563CB"/>
    <w:rsid w:val="0035662C"/>
    <w:rsid w:val="0035694C"/>
    <w:rsid w:val="00356C81"/>
    <w:rsid w:val="00357342"/>
    <w:rsid w:val="00360F42"/>
    <w:rsid w:val="003617EE"/>
    <w:rsid w:val="0036181B"/>
    <w:rsid w:val="00361FB4"/>
    <w:rsid w:val="0036213F"/>
    <w:rsid w:val="0036242E"/>
    <w:rsid w:val="0036292E"/>
    <w:rsid w:val="00362CAF"/>
    <w:rsid w:val="00364821"/>
    <w:rsid w:val="0036493B"/>
    <w:rsid w:val="003659A7"/>
    <w:rsid w:val="00367646"/>
    <w:rsid w:val="0037294E"/>
    <w:rsid w:val="00372D6E"/>
    <w:rsid w:val="00372FF9"/>
    <w:rsid w:val="00373800"/>
    <w:rsid w:val="00373F59"/>
    <w:rsid w:val="003747C2"/>
    <w:rsid w:val="003756A0"/>
    <w:rsid w:val="003756D8"/>
    <w:rsid w:val="0037570D"/>
    <w:rsid w:val="003802E4"/>
    <w:rsid w:val="00380B52"/>
    <w:rsid w:val="003830F1"/>
    <w:rsid w:val="0038344D"/>
    <w:rsid w:val="00384F97"/>
    <w:rsid w:val="0038555C"/>
    <w:rsid w:val="00385E08"/>
    <w:rsid w:val="003901EE"/>
    <w:rsid w:val="0039063D"/>
    <w:rsid w:val="0039067B"/>
    <w:rsid w:val="003916C6"/>
    <w:rsid w:val="0039322F"/>
    <w:rsid w:val="00393A16"/>
    <w:rsid w:val="00393E97"/>
    <w:rsid w:val="003942D6"/>
    <w:rsid w:val="00394507"/>
    <w:rsid w:val="00395523"/>
    <w:rsid w:val="00397058"/>
    <w:rsid w:val="003972BB"/>
    <w:rsid w:val="003A083C"/>
    <w:rsid w:val="003A3076"/>
    <w:rsid w:val="003A6611"/>
    <w:rsid w:val="003A6BAA"/>
    <w:rsid w:val="003A6C58"/>
    <w:rsid w:val="003B2231"/>
    <w:rsid w:val="003B3BF1"/>
    <w:rsid w:val="003B5827"/>
    <w:rsid w:val="003B5D58"/>
    <w:rsid w:val="003B62F7"/>
    <w:rsid w:val="003B6B40"/>
    <w:rsid w:val="003B7A52"/>
    <w:rsid w:val="003C11E2"/>
    <w:rsid w:val="003C2C1F"/>
    <w:rsid w:val="003C487F"/>
    <w:rsid w:val="003C5123"/>
    <w:rsid w:val="003C560E"/>
    <w:rsid w:val="003D2AD3"/>
    <w:rsid w:val="003D3752"/>
    <w:rsid w:val="003D4680"/>
    <w:rsid w:val="003D5682"/>
    <w:rsid w:val="003E0DBC"/>
    <w:rsid w:val="003E31AA"/>
    <w:rsid w:val="003E36D3"/>
    <w:rsid w:val="003E387B"/>
    <w:rsid w:val="003E3EB5"/>
    <w:rsid w:val="003E5193"/>
    <w:rsid w:val="003E6C3B"/>
    <w:rsid w:val="003E757D"/>
    <w:rsid w:val="003F192D"/>
    <w:rsid w:val="003F260D"/>
    <w:rsid w:val="003F4EB4"/>
    <w:rsid w:val="003F7710"/>
    <w:rsid w:val="003F77D5"/>
    <w:rsid w:val="004006F9"/>
    <w:rsid w:val="00401CE2"/>
    <w:rsid w:val="004021C6"/>
    <w:rsid w:val="00404216"/>
    <w:rsid w:val="00404743"/>
    <w:rsid w:val="004047F9"/>
    <w:rsid w:val="00404D4A"/>
    <w:rsid w:val="004057D0"/>
    <w:rsid w:val="00405CE7"/>
    <w:rsid w:val="004105CE"/>
    <w:rsid w:val="0041477F"/>
    <w:rsid w:val="00415A7B"/>
    <w:rsid w:val="00415D08"/>
    <w:rsid w:val="00417678"/>
    <w:rsid w:val="00421DE0"/>
    <w:rsid w:val="00422FF9"/>
    <w:rsid w:val="004240A5"/>
    <w:rsid w:val="00427950"/>
    <w:rsid w:val="00430EF8"/>
    <w:rsid w:val="00431562"/>
    <w:rsid w:val="0043207E"/>
    <w:rsid w:val="004332F9"/>
    <w:rsid w:val="004343BC"/>
    <w:rsid w:val="00434615"/>
    <w:rsid w:val="00434E01"/>
    <w:rsid w:val="00437CF1"/>
    <w:rsid w:val="00440C54"/>
    <w:rsid w:val="00441C6A"/>
    <w:rsid w:val="0044264A"/>
    <w:rsid w:val="0044343B"/>
    <w:rsid w:val="00443802"/>
    <w:rsid w:val="00443C22"/>
    <w:rsid w:val="00443ED2"/>
    <w:rsid w:val="004447CB"/>
    <w:rsid w:val="004449CA"/>
    <w:rsid w:val="00445862"/>
    <w:rsid w:val="00446227"/>
    <w:rsid w:val="00450235"/>
    <w:rsid w:val="004502DC"/>
    <w:rsid w:val="0045035C"/>
    <w:rsid w:val="00450C3F"/>
    <w:rsid w:val="00450C79"/>
    <w:rsid w:val="00451944"/>
    <w:rsid w:val="00451BEA"/>
    <w:rsid w:val="00452D25"/>
    <w:rsid w:val="00452EA8"/>
    <w:rsid w:val="0045361E"/>
    <w:rsid w:val="004538E5"/>
    <w:rsid w:val="004546E4"/>
    <w:rsid w:val="00454C92"/>
    <w:rsid w:val="00456317"/>
    <w:rsid w:val="00456AF6"/>
    <w:rsid w:val="00456B3E"/>
    <w:rsid w:val="00460CB6"/>
    <w:rsid w:val="004613A1"/>
    <w:rsid w:val="004624CB"/>
    <w:rsid w:val="00462FBB"/>
    <w:rsid w:val="004635B6"/>
    <w:rsid w:val="00463B01"/>
    <w:rsid w:val="00463BA2"/>
    <w:rsid w:val="00465034"/>
    <w:rsid w:val="00465151"/>
    <w:rsid w:val="00466CB9"/>
    <w:rsid w:val="004676BA"/>
    <w:rsid w:val="0047021C"/>
    <w:rsid w:val="00470450"/>
    <w:rsid w:val="004705C5"/>
    <w:rsid w:val="004709BC"/>
    <w:rsid w:val="00473AF3"/>
    <w:rsid w:val="00473D9B"/>
    <w:rsid w:val="00475BAB"/>
    <w:rsid w:val="00476A0F"/>
    <w:rsid w:val="00476C8C"/>
    <w:rsid w:val="00477179"/>
    <w:rsid w:val="00481D4C"/>
    <w:rsid w:val="00483139"/>
    <w:rsid w:val="0048338F"/>
    <w:rsid w:val="004840BF"/>
    <w:rsid w:val="0048425B"/>
    <w:rsid w:val="00484979"/>
    <w:rsid w:val="00484ABC"/>
    <w:rsid w:val="004854B0"/>
    <w:rsid w:val="004860FD"/>
    <w:rsid w:val="004863E0"/>
    <w:rsid w:val="00486592"/>
    <w:rsid w:val="004903CA"/>
    <w:rsid w:val="00490A04"/>
    <w:rsid w:val="00490A19"/>
    <w:rsid w:val="00493712"/>
    <w:rsid w:val="00493E39"/>
    <w:rsid w:val="0049414A"/>
    <w:rsid w:val="00494445"/>
    <w:rsid w:val="0049498D"/>
    <w:rsid w:val="004975BC"/>
    <w:rsid w:val="00497AD2"/>
    <w:rsid w:val="004A0C42"/>
    <w:rsid w:val="004A17F9"/>
    <w:rsid w:val="004A27A5"/>
    <w:rsid w:val="004A322B"/>
    <w:rsid w:val="004A478A"/>
    <w:rsid w:val="004A51D4"/>
    <w:rsid w:val="004A7066"/>
    <w:rsid w:val="004A78F6"/>
    <w:rsid w:val="004B0191"/>
    <w:rsid w:val="004B100A"/>
    <w:rsid w:val="004B1911"/>
    <w:rsid w:val="004B1CBA"/>
    <w:rsid w:val="004B30EC"/>
    <w:rsid w:val="004B3CA6"/>
    <w:rsid w:val="004B620F"/>
    <w:rsid w:val="004B6287"/>
    <w:rsid w:val="004B663F"/>
    <w:rsid w:val="004B6CCD"/>
    <w:rsid w:val="004B7A0F"/>
    <w:rsid w:val="004B7E4D"/>
    <w:rsid w:val="004C0500"/>
    <w:rsid w:val="004C0A9F"/>
    <w:rsid w:val="004C1671"/>
    <w:rsid w:val="004C1797"/>
    <w:rsid w:val="004C17C4"/>
    <w:rsid w:val="004C2921"/>
    <w:rsid w:val="004C304D"/>
    <w:rsid w:val="004C39BF"/>
    <w:rsid w:val="004C3BA4"/>
    <w:rsid w:val="004C3C80"/>
    <w:rsid w:val="004C4795"/>
    <w:rsid w:val="004C518E"/>
    <w:rsid w:val="004C79B2"/>
    <w:rsid w:val="004D25A6"/>
    <w:rsid w:val="004D43DA"/>
    <w:rsid w:val="004D4419"/>
    <w:rsid w:val="004D62D9"/>
    <w:rsid w:val="004D6911"/>
    <w:rsid w:val="004D6BE8"/>
    <w:rsid w:val="004D6E10"/>
    <w:rsid w:val="004E09DE"/>
    <w:rsid w:val="004E1ACA"/>
    <w:rsid w:val="004E2CA4"/>
    <w:rsid w:val="004E3EC1"/>
    <w:rsid w:val="004E555F"/>
    <w:rsid w:val="004E58B1"/>
    <w:rsid w:val="004F118B"/>
    <w:rsid w:val="004F1ACE"/>
    <w:rsid w:val="004F39FD"/>
    <w:rsid w:val="004F3EF5"/>
    <w:rsid w:val="004F474B"/>
    <w:rsid w:val="004F6359"/>
    <w:rsid w:val="004F7718"/>
    <w:rsid w:val="004F77D7"/>
    <w:rsid w:val="004F7CBD"/>
    <w:rsid w:val="005026A9"/>
    <w:rsid w:val="00503FC5"/>
    <w:rsid w:val="00505A09"/>
    <w:rsid w:val="00505F3F"/>
    <w:rsid w:val="00506712"/>
    <w:rsid w:val="005071C2"/>
    <w:rsid w:val="00507625"/>
    <w:rsid w:val="00511567"/>
    <w:rsid w:val="005122DC"/>
    <w:rsid w:val="00512C85"/>
    <w:rsid w:val="00512EC0"/>
    <w:rsid w:val="00513CF4"/>
    <w:rsid w:val="00515938"/>
    <w:rsid w:val="00517156"/>
    <w:rsid w:val="00520482"/>
    <w:rsid w:val="00521E1F"/>
    <w:rsid w:val="00522945"/>
    <w:rsid w:val="00523E41"/>
    <w:rsid w:val="0052478D"/>
    <w:rsid w:val="00524959"/>
    <w:rsid w:val="00525CC7"/>
    <w:rsid w:val="0052605A"/>
    <w:rsid w:val="0052774F"/>
    <w:rsid w:val="005308B6"/>
    <w:rsid w:val="00530F8B"/>
    <w:rsid w:val="00531269"/>
    <w:rsid w:val="00531967"/>
    <w:rsid w:val="00532460"/>
    <w:rsid w:val="00533A8A"/>
    <w:rsid w:val="00534981"/>
    <w:rsid w:val="00535699"/>
    <w:rsid w:val="005359C8"/>
    <w:rsid w:val="00536ED9"/>
    <w:rsid w:val="00540720"/>
    <w:rsid w:val="00540C09"/>
    <w:rsid w:val="00541808"/>
    <w:rsid w:val="00541EAF"/>
    <w:rsid w:val="00541F8A"/>
    <w:rsid w:val="00542D5A"/>
    <w:rsid w:val="00544750"/>
    <w:rsid w:val="005450D9"/>
    <w:rsid w:val="00546095"/>
    <w:rsid w:val="00546E3D"/>
    <w:rsid w:val="0054757C"/>
    <w:rsid w:val="00550124"/>
    <w:rsid w:val="0055077E"/>
    <w:rsid w:val="00550993"/>
    <w:rsid w:val="00550A99"/>
    <w:rsid w:val="00551C8B"/>
    <w:rsid w:val="00553BFF"/>
    <w:rsid w:val="005573BB"/>
    <w:rsid w:val="00560EAF"/>
    <w:rsid w:val="00562E24"/>
    <w:rsid w:val="005641CD"/>
    <w:rsid w:val="0056550A"/>
    <w:rsid w:val="0056708E"/>
    <w:rsid w:val="005712C0"/>
    <w:rsid w:val="0057155A"/>
    <w:rsid w:val="00571F59"/>
    <w:rsid w:val="00572F27"/>
    <w:rsid w:val="00574343"/>
    <w:rsid w:val="00575BCF"/>
    <w:rsid w:val="0057611E"/>
    <w:rsid w:val="00577086"/>
    <w:rsid w:val="0057728A"/>
    <w:rsid w:val="00577366"/>
    <w:rsid w:val="00577724"/>
    <w:rsid w:val="00577C52"/>
    <w:rsid w:val="00581705"/>
    <w:rsid w:val="00581E19"/>
    <w:rsid w:val="005824A9"/>
    <w:rsid w:val="00582997"/>
    <w:rsid w:val="005834B4"/>
    <w:rsid w:val="0058585E"/>
    <w:rsid w:val="00585E78"/>
    <w:rsid w:val="00586645"/>
    <w:rsid w:val="0058714A"/>
    <w:rsid w:val="005903C8"/>
    <w:rsid w:val="00590476"/>
    <w:rsid w:val="00591317"/>
    <w:rsid w:val="00591687"/>
    <w:rsid w:val="00592DD8"/>
    <w:rsid w:val="00594A12"/>
    <w:rsid w:val="00594FA2"/>
    <w:rsid w:val="00595194"/>
    <w:rsid w:val="00597996"/>
    <w:rsid w:val="00597AB6"/>
    <w:rsid w:val="005A3150"/>
    <w:rsid w:val="005A4BC8"/>
    <w:rsid w:val="005A4FBD"/>
    <w:rsid w:val="005A5068"/>
    <w:rsid w:val="005A6336"/>
    <w:rsid w:val="005A7689"/>
    <w:rsid w:val="005A76F1"/>
    <w:rsid w:val="005B01E4"/>
    <w:rsid w:val="005B1094"/>
    <w:rsid w:val="005B12D8"/>
    <w:rsid w:val="005B22BB"/>
    <w:rsid w:val="005B257A"/>
    <w:rsid w:val="005B2B0F"/>
    <w:rsid w:val="005B3832"/>
    <w:rsid w:val="005B4970"/>
    <w:rsid w:val="005B4ADB"/>
    <w:rsid w:val="005B5225"/>
    <w:rsid w:val="005B6403"/>
    <w:rsid w:val="005B74FD"/>
    <w:rsid w:val="005C097C"/>
    <w:rsid w:val="005C0AB3"/>
    <w:rsid w:val="005C1A73"/>
    <w:rsid w:val="005C2195"/>
    <w:rsid w:val="005C69F9"/>
    <w:rsid w:val="005C77AE"/>
    <w:rsid w:val="005C7F82"/>
    <w:rsid w:val="005D039C"/>
    <w:rsid w:val="005D15F2"/>
    <w:rsid w:val="005D17E1"/>
    <w:rsid w:val="005D2159"/>
    <w:rsid w:val="005D3711"/>
    <w:rsid w:val="005D38E7"/>
    <w:rsid w:val="005D3A3A"/>
    <w:rsid w:val="005D40A2"/>
    <w:rsid w:val="005D5291"/>
    <w:rsid w:val="005D6912"/>
    <w:rsid w:val="005D6A50"/>
    <w:rsid w:val="005D6E24"/>
    <w:rsid w:val="005D777A"/>
    <w:rsid w:val="005E0CF7"/>
    <w:rsid w:val="005E1F54"/>
    <w:rsid w:val="005E4A87"/>
    <w:rsid w:val="005E5548"/>
    <w:rsid w:val="005F0328"/>
    <w:rsid w:val="005F0951"/>
    <w:rsid w:val="005F199F"/>
    <w:rsid w:val="005F469D"/>
    <w:rsid w:val="005F4BB4"/>
    <w:rsid w:val="005F4E89"/>
    <w:rsid w:val="005F5496"/>
    <w:rsid w:val="005F55BD"/>
    <w:rsid w:val="005F5A1B"/>
    <w:rsid w:val="005F73AA"/>
    <w:rsid w:val="005F78A9"/>
    <w:rsid w:val="00601545"/>
    <w:rsid w:val="00602024"/>
    <w:rsid w:val="006043C5"/>
    <w:rsid w:val="00604BFF"/>
    <w:rsid w:val="00605B9F"/>
    <w:rsid w:val="00606C3F"/>
    <w:rsid w:val="00607947"/>
    <w:rsid w:val="0061139A"/>
    <w:rsid w:val="00614FD4"/>
    <w:rsid w:val="00615078"/>
    <w:rsid w:val="0061524E"/>
    <w:rsid w:val="00615B79"/>
    <w:rsid w:val="00616AA1"/>
    <w:rsid w:val="00616B51"/>
    <w:rsid w:val="00616EBF"/>
    <w:rsid w:val="00620BA2"/>
    <w:rsid w:val="00622463"/>
    <w:rsid w:val="00623544"/>
    <w:rsid w:val="0062374B"/>
    <w:rsid w:val="0062499C"/>
    <w:rsid w:val="00624CC5"/>
    <w:rsid w:val="00626C5B"/>
    <w:rsid w:val="00627149"/>
    <w:rsid w:val="00627437"/>
    <w:rsid w:val="006276AA"/>
    <w:rsid w:val="0063062F"/>
    <w:rsid w:val="00630CF9"/>
    <w:rsid w:val="00632A4B"/>
    <w:rsid w:val="00632DB1"/>
    <w:rsid w:val="006331FA"/>
    <w:rsid w:val="006333D6"/>
    <w:rsid w:val="00633599"/>
    <w:rsid w:val="00633F7E"/>
    <w:rsid w:val="006364AC"/>
    <w:rsid w:val="00637E8E"/>
    <w:rsid w:val="00641576"/>
    <w:rsid w:val="006415C6"/>
    <w:rsid w:val="00641B73"/>
    <w:rsid w:val="006424DB"/>
    <w:rsid w:val="00643211"/>
    <w:rsid w:val="00643FBD"/>
    <w:rsid w:val="00644ADA"/>
    <w:rsid w:val="0064535E"/>
    <w:rsid w:val="00645F80"/>
    <w:rsid w:val="00645FE7"/>
    <w:rsid w:val="00646B35"/>
    <w:rsid w:val="00650689"/>
    <w:rsid w:val="00651330"/>
    <w:rsid w:val="00651B2A"/>
    <w:rsid w:val="00651F8B"/>
    <w:rsid w:val="006520FD"/>
    <w:rsid w:val="00652128"/>
    <w:rsid w:val="00657482"/>
    <w:rsid w:val="006578BA"/>
    <w:rsid w:val="0066126F"/>
    <w:rsid w:val="006616CE"/>
    <w:rsid w:val="0066252F"/>
    <w:rsid w:val="006637CE"/>
    <w:rsid w:val="00663D16"/>
    <w:rsid w:val="006648A2"/>
    <w:rsid w:val="00664B45"/>
    <w:rsid w:val="00666E68"/>
    <w:rsid w:val="00667A4F"/>
    <w:rsid w:val="00671735"/>
    <w:rsid w:val="00672CB8"/>
    <w:rsid w:val="006732C1"/>
    <w:rsid w:val="00674258"/>
    <w:rsid w:val="00674CD3"/>
    <w:rsid w:val="00676ED6"/>
    <w:rsid w:val="00677A2D"/>
    <w:rsid w:val="00681699"/>
    <w:rsid w:val="00681D05"/>
    <w:rsid w:val="0068293B"/>
    <w:rsid w:val="00682AA9"/>
    <w:rsid w:val="00683073"/>
    <w:rsid w:val="0068551A"/>
    <w:rsid w:val="00685F6C"/>
    <w:rsid w:val="00686CDF"/>
    <w:rsid w:val="00691485"/>
    <w:rsid w:val="00692FAD"/>
    <w:rsid w:val="00693D57"/>
    <w:rsid w:val="00694CC6"/>
    <w:rsid w:val="00696266"/>
    <w:rsid w:val="00696B41"/>
    <w:rsid w:val="00696C69"/>
    <w:rsid w:val="00696F5B"/>
    <w:rsid w:val="006977BC"/>
    <w:rsid w:val="006A2B36"/>
    <w:rsid w:val="006A3BA3"/>
    <w:rsid w:val="006A3D77"/>
    <w:rsid w:val="006A5E8A"/>
    <w:rsid w:val="006A685C"/>
    <w:rsid w:val="006A70DC"/>
    <w:rsid w:val="006B095C"/>
    <w:rsid w:val="006B6516"/>
    <w:rsid w:val="006B6B1A"/>
    <w:rsid w:val="006B77FF"/>
    <w:rsid w:val="006B7CAF"/>
    <w:rsid w:val="006C2B19"/>
    <w:rsid w:val="006C5782"/>
    <w:rsid w:val="006C5D05"/>
    <w:rsid w:val="006C645F"/>
    <w:rsid w:val="006C6531"/>
    <w:rsid w:val="006C67D9"/>
    <w:rsid w:val="006C7F5D"/>
    <w:rsid w:val="006D1348"/>
    <w:rsid w:val="006D252B"/>
    <w:rsid w:val="006D2934"/>
    <w:rsid w:val="006D3351"/>
    <w:rsid w:val="006D337C"/>
    <w:rsid w:val="006D3A03"/>
    <w:rsid w:val="006D5963"/>
    <w:rsid w:val="006E04BC"/>
    <w:rsid w:val="006E113C"/>
    <w:rsid w:val="006E253F"/>
    <w:rsid w:val="006E3875"/>
    <w:rsid w:val="006E4133"/>
    <w:rsid w:val="006E417D"/>
    <w:rsid w:val="006E5019"/>
    <w:rsid w:val="006F072E"/>
    <w:rsid w:val="006F0A97"/>
    <w:rsid w:val="006F1AE8"/>
    <w:rsid w:val="006F236C"/>
    <w:rsid w:val="006F3C9E"/>
    <w:rsid w:val="006F415C"/>
    <w:rsid w:val="006F4CF0"/>
    <w:rsid w:val="006F5D1D"/>
    <w:rsid w:val="006F5DED"/>
    <w:rsid w:val="006F692B"/>
    <w:rsid w:val="006F73D5"/>
    <w:rsid w:val="006F74BC"/>
    <w:rsid w:val="006F7710"/>
    <w:rsid w:val="006F7FA6"/>
    <w:rsid w:val="00701C61"/>
    <w:rsid w:val="007023E7"/>
    <w:rsid w:val="007024E3"/>
    <w:rsid w:val="00707DFB"/>
    <w:rsid w:val="00710551"/>
    <w:rsid w:val="0071081D"/>
    <w:rsid w:val="00710EEE"/>
    <w:rsid w:val="00710F4A"/>
    <w:rsid w:val="00710F7B"/>
    <w:rsid w:val="00711D85"/>
    <w:rsid w:val="00712627"/>
    <w:rsid w:val="007135D3"/>
    <w:rsid w:val="00713747"/>
    <w:rsid w:val="00713ECC"/>
    <w:rsid w:val="007142CA"/>
    <w:rsid w:val="007148CF"/>
    <w:rsid w:val="007156F5"/>
    <w:rsid w:val="00716382"/>
    <w:rsid w:val="00716F11"/>
    <w:rsid w:val="00720720"/>
    <w:rsid w:val="0072077C"/>
    <w:rsid w:val="0072156D"/>
    <w:rsid w:val="00722CE8"/>
    <w:rsid w:val="00722E18"/>
    <w:rsid w:val="00723D34"/>
    <w:rsid w:val="00725BF3"/>
    <w:rsid w:val="00727911"/>
    <w:rsid w:val="00727C84"/>
    <w:rsid w:val="007303E1"/>
    <w:rsid w:val="00732AF8"/>
    <w:rsid w:val="00733E2A"/>
    <w:rsid w:val="00735DB7"/>
    <w:rsid w:val="007362E1"/>
    <w:rsid w:val="0073732E"/>
    <w:rsid w:val="00741011"/>
    <w:rsid w:val="0074142C"/>
    <w:rsid w:val="007419F2"/>
    <w:rsid w:val="0074218D"/>
    <w:rsid w:val="007428C4"/>
    <w:rsid w:val="0074507C"/>
    <w:rsid w:val="00747BC1"/>
    <w:rsid w:val="00750161"/>
    <w:rsid w:val="007516A1"/>
    <w:rsid w:val="00751724"/>
    <w:rsid w:val="00751817"/>
    <w:rsid w:val="007518E4"/>
    <w:rsid w:val="00751CE0"/>
    <w:rsid w:val="00751CFC"/>
    <w:rsid w:val="00752658"/>
    <w:rsid w:val="00757D5C"/>
    <w:rsid w:val="007609FB"/>
    <w:rsid w:val="007620EF"/>
    <w:rsid w:val="00763725"/>
    <w:rsid w:val="0076424E"/>
    <w:rsid w:val="00764671"/>
    <w:rsid w:val="00765A1B"/>
    <w:rsid w:val="00767FC3"/>
    <w:rsid w:val="0077058E"/>
    <w:rsid w:val="007717A7"/>
    <w:rsid w:val="00772C7A"/>
    <w:rsid w:val="00773149"/>
    <w:rsid w:val="007755A1"/>
    <w:rsid w:val="00775E35"/>
    <w:rsid w:val="0077738A"/>
    <w:rsid w:val="00777723"/>
    <w:rsid w:val="0078084A"/>
    <w:rsid w:val="00781084"/>
    <w:rsid w:val="0078331B"/>
    <w:rsid w:val="007835D3"/>
    <w:rsid w:val="007875BF"/>
    <w:rsid w:val="00791F8D"/>
    <w:rsid w:val="0079308F"/>
    <w:rsid w:val="007937CA"/>
    <w:rsid w:val="00794674"/>
    <w:rsid w:val="00794C27"/>
    <w:rsid w:val="00795C8B"/>
    <w:rsid w:val="00796163"/>
    <w:rsid w:val="007A0878"/>
    <w:rsid w:val="007A0BC1"/>
    <w:rsid w:val="007A1C8D"/>
    <w:rsid w:val="007A2770"/>
    <w:rsid w:val="007A2D18"/>
    <w:rsid w:val="007A3133"/>
    <w:rsid w:val="007A4420"/>
    <w:rsid w:val="007A533F"/>
    <w:rsid w:val="007A695F"/>
    <w:rsid w:val="007A73D2"/>
    <w:rsid w:val="007A74BA"/>
    <w:rsid w:val="007B1E62"/>
    <w:rsid w:val="007B6272"/>
    <w:rsid w:val="007B6FB5"/>
    <w:rsid w:val="007B7509"/>
    <w:rsid w:val="007B7DA3"/>
    <w:rsid w:val="007C3174"/>
    <w:rsid w:val="007C4AC0"/>
    <w:rsid w:val="007C6428"/>
    <w:rsid w:val="007C6E8F"/>
    <w:rsid w:val="007C7F5A"/>
    <w:rsid w:val="007D0D2E"/>
    <w:rsid w:val="007D1E86"/>
    <w:rsid w:val="007D2194"/>
    <w:rsid w:val="007D60B0"/>
    <w:rsid w:val="007D76CE"/>
    <w:rsid w:val="007E0F23"/>
    <w:rsid w:val="007E1C4B"/>
    <w:rsid w:val="007E2185"/>
    <w:rsid w:val="007E26FB"/>
    <w:rsid w:val="007E550F"/>
    <w:rsid w:val="007E59C8"/>
    <w:rsid w:val="007F189B"/>
    <w:rsid w:val="007F2177"/>
    <w:rsid w:val="007F313B"/>
    <w:rsid w:val="007F4366"/>
    <w:rsid w:val="007F6EFE"/>
    <w:rsid w:val="007F7FCB"/>
    <w:rsid w:val="008013D6"/>
    <w:rsid w:val="008022F3"/>
    <w:rsid w:val="00803AA4"/>
    <w:rsid w:val="008041E4"/>
    <w:rsid w:val="008050E9"/>
    <w:rsid w:val="0080525C"/>
    <w:rsid w:val="0080588F"/>
    <w:rsid w:val="00805D17"/>
    <w:rsid w:val="00806142"/>
    <w:rsid w:val="0081053A"/>
    <w:rsid w:val="00810805"/>
    <w:rsid w:val="0081153A"/>
    <w:rsid w:val="00813005"/>
    <w:rsid w:val="008134BA"/>
    <w:rsid w:val="008137AF"/>
    <w:rsid w:val="0081434B"/>
    <w:rsid w:val="0081437E"/>
    <w:rsid w:val="00814733"/>
    <w:rsid w:val="00814772"/>
    <w:rsid w:val="00815FAF"/>
    <w:rsid w:val="008200C0"/>
    <w:rsid w:val="00820AD7"/>
    <w:rsid w:val="00820AF0"/>
    <w:rsid w:val="00820B40"/>
    <w:rsid w:val="008219E9"/>
    <w:rsid w:val="00821B2E"/>
    <w:rsid w:val="008220B7"/>
    <w:rsid w:val="0082269B"/>
    <w:rsid w:val="0082273E"/>
    <w:rsid w:val="00824ADF"/>
    <w:rsid w:val="00825216"/>
    <w:rsid w:val="008262F0"/>
    <w:rsid w:val="00826679"/>
    <w:rsid w:val="00826F41"/>
    <w:rsid w:val="00827129"/>
    <w:rsid w:val="00827C2E"/>
    <w:rsid w:val="00832A23"/>
    <w:rsid w:val="008347D1"/>
    <w:rsid w:val="00834992"/>
    <w:rsid w:val="008351B8"/>
    <w:rsid w:val="0083579C"/>
    <w:rsid w:val="0083618C"/>
    <w:rsid w:val="00837AFB"/>
    <w:rsid w:val="008423E8"/>
    <w:rsid w:val="008471E3"/>
    <w:rsid w:val="00850D52"/>
    <w:rsid w:val="00851AE8"/>
    <w:rsid w:val="008523F8"/>
    <w:rsid w:val="00853660"/>
    <w:rsid w:val="008552E0"/>
    <w:rsid w:val="008572A2"/>
    <w:rsid w:val="008604D2"/>
    <w:rsid w:val="0086148F"/>
    <w:rsid w:val="008627D2"/>
    <w:rsid w:val="008635A3"/>
    <w:rsid w:val="008637D2"/>
    <w:rsid w:val="00865431"/>
    <w:rsid w:val="008718C1"/>
    <w:rsid w:val="008719E1"/>
    <w:rsid w:val="008721F6"/>
    <w:rsid w:val="008730A8"/>
    <w:rsid w:val="0087380A"/>
    <w:rsid w:val="00873E8F"/>
    <w:rsid w:val="00874952"/>
    <w:rsid w:val="008759B4"/>
    <w:rsid w:val="008811FA"/>
    <w:rsid w:val="00881423"/>
    <w:rsid w:val="00882C83"/>
    <w:rsid w:val="008832E1"/>
    <w:rsid w:val="008839A1"/>
    <w:rsid w:val="00884479"/>
    <w:rsid w:val="008856A5"/>
    <w:rsid w:val="00885BB6"/>
    <w:rsid w:val="008860EA"/>
    <w:rsid w:val="00886700"/>
    <w:rsid w:val="008874A5"/>
    <w:rsid w:val="0089005A"/>
    <w:rsid w:val="00892020"/>
    <w:rsid w:val="00894277"/>
    <w:rsid w:val="00894465"/>
    <w:rsid w:val="00894BA0"/>
    <w:rsid w:val="00894C80"/>
    <w:rsid w:val="008956C3"/>
    <w:rsid w:val="00896F76"/>
    <w:rsid w:val="008976E2"/>
    <w:rsid w:val="00897DE6"/>
    <w:rsid w:val="008A0E88"/>
    <w:rsid w:val="008A16FF"/>
    <w:rsid w:val="008A1C7A"/>
    <w:rsid w:val="008A2C52"/>
    <w:rsid w:val="008A45A3"/>
    <w:rsid w:val="008A4A66"/>
    <w:rsid w:val="008A4D41"/>
    <w:rsid w:val="008A5365"/>
    <w:rsid w:val="008A5813"/>
    <w:rsid w:val="008A59C8"/>
    <w:rsid w:val="008A5BF2"/>
    <w:rsid w:val="008A64AE"/>
    <w:rsid w:val="008A68FA"/>
    <w:rsid w:val="008A7E1C"/>
    <w:rsid w:val="008B0688"/>
    <w:rsid w:val="008B06C3"/>
    <w:rsid w:val="008B0DB1"/>
    <w:rsid w:val="008B5DA9"/>
    <w:rsid w:val="008B6536"/>
    <w:rsid w:val="008C1052"/>
    <w:rsid w:val="008C11E3"/>
    <w:rsid w:val="008C1B51"/>
    <w:rsid w:val="008C2325"/>
    <w:rsid w:val="008C2511"/>
    <w:rsid w:val="008C436D"/>
    <w:rsid w:val="008C4761"/>
    <w:rsid w:val="008C591B"/>
    <w:rsid w:val="008C6035"/>
    <w:rsid w:val="008D0AEC"/>
    <w:rsid w:val="008D12BE"/>
    <w:rsid w:val="008D394A"/>
    <w:rsid w:val="008D3B42"/>
    <w:rsid w:val="008D4541"/>
    <w:rsid w:val="008D4766"/>
    <w:rsid w:val="008D5705"/>
    <w:rsid w:val="008D7C58"/>
    <w:rsid w:val="008D7EB4"/>
    <w:rsid w:val="008E08DA"/>
    <w:rsid w:val="008E24D0"/>
    <w:rsid w:val="008E3104"/>
    <w:rsid w:val="008E33D8"/>
    <w:rsid w:val="008E369E"/>
    <w:rsid w:val="008E4001"/>
    <w:rsid w:val="008E4282"/>
    <w:rsid w:val="008E474E"/>
    <w:rsid w:val="008E4DB8"/>
    <w:rsid w:val="008E63A6"/>
    <w:rsid w:val="008F04BB"/>
    <w:rsid w:val="008F074C"/>
    <w:rsid w:val="008F1476"/>
    <w:rsid w:val="008F17D6"/>
    <w:rsid w:val="008F2745"/>
    <w:rsid w:val="008F33A5"/>
    <w:rsid w:val="008F3FE4"/>
    <w:rsid w:val="008F4207"/>
    <w:rsid w:val="008F4DE0"/>
    <w:rsid w:val="008F5FFB"/>
    <w:rsid w:val="008F6931"/>
    <w:rsid w:val="008F6BBC"/>
    <w:rsid w:val="008F735F"/>
    <w:rsid w:val="00903CC4"/>
    <w:rsid w:val="009048DB"/>
    <w:rsid w:val="00905355"/>
    <w:rsid w:val="00905C7D"/>
    <w:rsid w:val="00907CBE"/>
    <w:rsid w:val="00911338"/>
    <w:rsid w:val="0091156C"/>
    <w:rsid w:val="00911930"/>
    <w:rsid w:val="00911B3B"/>
    <w:rsid w:val="0091372D"/>
    <w:rsid w:val="00915BF6"/>
    <w:rsid w:val="0091600F"/>
    <w:rsid w:val="00920555"/>
    <w:rsid w:val="00920CF6"/>
    <w:rsid w:val="0092331C"/>
    <w:rsid w:val="0092360A"/>
    <w:rsid w:val="0092596F"/>
    <w:rsid w:val="00926AC2"/>
    <w:rsid w:val="009314AD"/>
    <w:rsid w:val="00934079"/>
    <w:rsid w:val="0093409B"/>
    <w:rsid w:val="00935D05"/>
    <w:rsid w:val="00937F26"/>
    <w:rsid w:val="0094075E"/>
    <w:rsid w:val="009407CC"/>
    <w:rsid w:val="00941293"/>
    <w:rsid w:val="0094131E"/>
    <w:rsid w:val="009414DA"/>
    <w:rsid w:val="009442E6"/>
    <w:rsid w:val="00944946"/>
    <w:rsid w:val="00945C74"/>
    <w:rsid w:val="0094614B"/>
    <w:rsid w:val="00946F4E"/>
    <w:rsid w:val="00947AAD"/>
    <w:rsid w:val="00947FC4"/>
    <w:rsid w:val="00950740"/>
    <w:rsid w:val="009510E1"/>
    <w:rsid w:val="009514FF"/>
    <w:rsid w:val="00952951"/>
    <w:rsid w:val="0095296F"/>
    <w:rsid w:val="009551D5"/>
    <w:rsid w:val="009566EB"/>
    <w:rsid w:val="00960075"/>
    <w:rsid w:val="0096034B"/>
    <w:rsid w:val="00961978"/>
    <w:rsid w:val="00961CC7"/>
    <w:rsid w:val="009625BA"/>
    <w:rsid w:val="009625CB"/>
    <w:rsid w:val="00963E51"/>
    <w:rsid w:val="009640AC"/>
    <w:rsid w:val="0096504C"/>
    <w:rsid w:val="009650AD"/>
    <w:rsid w:val="009651AD"/>
    <w:rsid w:val="00965A1C"/>
    <w:rsid w:val="00970CA0"/>
    <w:rsid w:val="00972199"/>
    <w:rsid w:val="0097331E"/>
    <w:rsid w:val="0097352A"/>
    <w:rsid w:val="00974472"/>
    <w:rsid w:val="00975220"/>
    <w:rsid w:val="00975637"/>
    <w:rsid w:val="00976087"/>
    <w:rsid w:val="009777FA"/>
    <w:rsid w:val="009778B7"/>
    <w:rsid w:val="00977A59"/>
    <w:rsid w:val="00977B7D"/>
    <w:rsid w:val="009810B8"/>
    <w:rsid w:val="00984D38"/>
    <w:rsid w:val="0098564A"/>
    <w:rsid w:val="00986FEA"/>
    <w:rsid w:val="00990948"/>
    <w:rsid w:val="009932CB"/>
    <w:rsid w:val="00993684"/>
    <w:rsid w:val="00994A7E"/>
    <w:rsid w:val="00995387"/>
    <w:rsid w:val="009955C5"/>
    <w:rsid w:val="00996717"/>
    <w:rsid w:val="00996EAF"/>
    <w:rsid w:val="00997CD9"/>
    <w:rsid w:val="00997F66"/>
    <w:rsid w:val="009A0356"/>
    <w:rsid w:val="009A07A9"/>
    <w:rsid w:val="009A1B71"/>
    <w:rsid w:val="009A4566"/>
    <w:rsid w:val="009A4DAE"/>
    <w:rsid w:val="009A4E02"/>
    <w:rsid w:val="009A7F28"/>
    <w:rsid w:val="009B251F"/>
    <w:rsid w:val="009B2928"/>
    <w:rsid w:val="009B2F8B"/>
    <w:rsid w:val="009B35B2"/>
    <w:rsid w:val="009B3E2D"/>
    <w:rsid w:val="009B4D56"/>
    <w:rsid w:val="009B611D"/>
    <w:rsid w:val="009B6AA6"/>
    <w:rsid w:val="009B6CDB"/>
    <w:rsid w:val="009C2A41"/>
    <w:rsid w:val="009C3CF2"/>
    <w:rsid w:val="009C42CE"/>
    <w:rsid w:val="009C4A47"/>
    <w:rsid w:val="009C4AF9"/>
    <w:rsid w:val="009C51D1"/>
    <w:rsid w:val="009C5B14"/>
    <w:rsid w:val="009C614A"/>
    <w:rsid w:val="009C660C"/>
    <w:rsid w:val="009D015D"/>
    <w:rsid w:val="009D0A1E"/>
    <w:rsid w:val="009D1566"/>
    <w:rsid w:val="009D25F4"/>
    <w:rsid w:val="009D29C4"/>
    <w:rsid w:val="009D31A6"/>
    <w:rsid w:val="009D48B6"/>
    <w:rsid w:val="009D4FCC"/>
    <w:rsid w:val="009D6502"/>
    <w:rsid w:val="009D670A"/>
    <w:rsid w:val="009D68D0"/>
    <w:rsid w:val="009E058E"/>
    <w:rsid w:val="009E230F"/>
    <w:rsid w:val="009E2421"/>
    <w:rsid w:val="009E255A"/>
    <w:rsid w:val="009E3F81"/>
    <w:rsid w:val="009E4368"/>
    <w:rsid w:val="009E51BF"/>
    <w:rsid w:val="009E5BED"/>
    <w:rsid w:val="009E6990"/>
    <w:rsid w:val="009E6B00"/>
    <w:rsid w:val="009E6FB6"/>
    <w:rsid w:val="009F1F8A"/>
    <w:rsid w:val="009F45A4"/>
    <w:rsid w:val="009F59C9"/>
    <w:rsid w:val="009F6565"/>
    <w:rsid w:val="009F65CE"/>
    <w:rsid w:val="009F6C7F"/>
    <w:rsid w:val="009F720D"/>
    <w:rsid w:val="009F76C6"/>
    <w:rsid w:val="00A00C30"/>
    <w:rsid w:val="00A024AC"/>
    <w:rsid w:val="00A059EA"/>
    <w:rsid w:val="00A05DA3"/>
    <w:rsid w:val="00A079DE"/>
    <w:rsid w:val="00A1127F"/>
    <w:rsid w:val="00A12007"/>
    <w:rsid w:val="00A12DB7"/>
    <w:rsid w:val="00A13A5A"/>
    <w:rsid w:val="00A13FD7"/>
    <w:rsid w:val="00A1447D"/>
    <w:rsid w:val="00A14A65"/>
    <w:rsid w:val="00A17257"/>
    <w:rsid w:val="00A17AFE"/>
    <w:rsid w:val="00A17BBB"/>
    <w:rsid w:val="00A20C9C"/>
    <w:rsid w:val="00A20E04"/>
    <w:rsid w:val="00A218D6"/>
    <w:rsid w:val="00A219D7"/>
    <w:rsid w:val="00A25F78"/>
    <w:rsid w:val="00A27378"/>
    <w:rsid w:val="00A30424"/>
    <w:rsid w:val="00A31817"/>
    <w:rsid w:val="00A34802"/>
    <w:rsid w:val="00A348D2"/>
    <w:rsid w:val="00A360A0"/>
    <w:rsid w:val="00A40423"/>
    <w:rsid w:val="00A40574"/>
    <w:rsid w:val="00A42D46"/>
    <w:rsid w:val="00A437CB"/>
    <w:rsid w:val="00A46011"/>
    <w:rsid w:val="00A50066"/>
    <w:rsid w:val="00A5133F"/>
    <w:rsid w:val="00A51619"/>
    <w:rsid w:val="00A541F9"/>
    <w:rsid w:val="00A54A05"/>
    <w:rsid w:val="00A54F9E"/>
    <w:rsid w:val="00A55B7F"/>
    <w:rsid w:val="00A57FBE"/>
    <w:rsid w:val="00A63225"/>
    <w:rsid w:val="00A635C4"/>
    <w:rsid w:val="00A63BD8"/>
    <w:rsid w:val="00A6587B"/>
    <w:rsid w:val="00A65D43"/>
    <w:rsid w:val="00A66E4D"/>
    <w:rsid w:val="00A67B0B"/>
    <w:rsid w:val="00A67DC6"/>
    <w:rsid w:val="00A73E8A"/>
    <w:rsid w:val="00A7417B"/>
    <w:rsid w:val="00A7668B"/>
    <w:rsid w:val="00A77B33"/>
    <w:rsid w:val="00A77DE5"/>
    <w:rsid w:val="00A80A41"/>
    <w:rsid w:val="00A83EE8"/>
    <w:rsid w:val="00A83F3B"/>
    <w:rsid w:val="00A84004"/>
    <w:rsid w:val="00A84818"/>
    <w:rsid w:val="00A8537E"/>
    <w:rsid w:val="00A8603D"/>
    <w:rsid w:val="00A90FB8"/>
    <w:rsid w:val="00A910A0"/>
    <w:rsid w:val="00A912E5"/>
    <w:rsid w:val="00A93DB9"/>
    <w:rsid w:val="00A94B47"/>
    <w:rsid w:val="00A95970"/>
    <w:rsid w:val="00A96F84"/>
    <w:rsid w:val="00AA1407"/>
    <w:rsid w:val="00AA1C36"/>
    <w:rsid w:val="00AA2E42"/>
    <w:rsid w:val="00AA3B06"/>
    <w:rsid w:val="00AA3FC8"/>
    <w:rsid w:val="00AA501B"/>
    <w:rsid w:val="00AA508F"/>
    <w:rsid w:val="00AA5094"/>
    <w:rsid w:val="00AA5498"/>
    <w:rsid w:val="00AA6716"/>
    <w:rsid w:val="00AB0F9B"/>
    <w:rsid w:val="00AB163B"/>
    <w:rsid w:val="00AB1DA9"/>
    <w:rsid w:val="00AB26FC"/>
    <w:rsid w:val="00AB2B2F"/>
    <w:rsid w:val="00AB42C3"/>
    <w:rsid w:val="00AB4E94"/>
    <w:rsid w:val="00AB6EEE"/>
    <w:rsid w:val="00AB7579"/>
    <w:rsid w:val="00AB7AB5"/>
    <w:rsid w:val="00AC0C25"/>
    <w:rsid w:val="00AC1441"/>
    <w:rsid w:val="00AC4C4C"/>
    <w:rsid w:val="00AC6B46"/>
    <w:rsid w:val="00AD00E4"/>
    <w:rsid w:val="00AD0D40"/>
    <w:rsid w:val="00AD179C"/>
    <w:rsid w:val="00AD2D86"/>
    <w:rsid w:val="00AD391F"/>
    <w:rsid w:val="00AD4347"/>
    <w:rsid w:val="00AD4DC7"/>
    <w:rsid w:val="00AD5660"/>
    <w:rsid w:val="00AD5877"/>
    <w:rsid w:val="00AD5C81"/>
    <w:rsid w:val="00AD5D30"/>
    <w:rsid w:val="00AD6F46"/>
    <w:rsid w:val="00AE0B57"/>
    <w:rsid w:val="00AE283D"/>
    <w:rsid w:val="00AE3D03"/>
    <w:rsid w:val="00AE4491"/>
    <w:rsid w:val="00AE5012"/>
    <w:rsid w:val="00AE5B87"/>
    <w:rsid w:val="00AE745C"/>
    <w:rsid w:val="00AF20A6"/>
    <w:rsid w:val="00AF2521"/>
    <w:rsid w:val="00AF45FE"/>
    <w:rsid w:val="00AF4E90"/>
    <w:rsid w:val="00AF5619"/>
    <w:rsid w:val="00AF5A53"/>
    <w:rsid w:val="00AF5D5E"/>
    <w:rsid w:val="00AF677F"/>
    <w:rsid w:val="00AF681E"/>
    <w:rsid w:val="00AF7C4C"/>
    <w:rsid w:val="00B00316"/>
    <w:rsid w:val="00B0124F"/>
    <w:rsid w:val="00B01D74"/>
    <w:rsid w:val="00B037FF"/>
    <w:rsid w:val="00B05C42"/>
    <w:rsid w:val="00B06268"/>
    <w:rsid w:val="00B064ED"/>
    <w:rsid w:val="00B06D8A"/>
    <w:rsid w:val="00B07195"/>
    <w:rsid w:val="00B10012"/>
    <w:rsid w:val="00B10A16"/>
    <w:rsid w:val="00B1211E"/>
    <w:rsid w:val="00B12B75"/>
    <w:rsid w:val="00B12C0E"/>
    <w:rsid w:val="00B13437"/>
    <w:rsid w:val="00B14652"/>
    <w:rsid w:val="00B14734"/>
    <w:rsid w:val="00B147B9"/>
    <w:rsid w:val="00B14E53"/>
    <w:rsid w:val="00B1502C"/>
    <w:rsid w:val="00B17BAC"/>
    <w:rsid w:val="00B2055F"/>
    <w:rsid w:val="00B20A6D"/>
    <w:rsid w:val="00B20C9D"/>
    <w:rsid w:val="00B21697"/>
    <w:rsid w:val="00B21838"/>
    <w:rsid w:val="00B22248"/>
    <w:rsid w:val="00B22A72"/>
    <w:rsid w:val="00B22DFD"/>
    <w:rsid w:val="00B23FC7"/>
    <w:rsid w:val="00B25112"/>
    <w:rsid w:val="00B27105"/>
    <w:rsid w:val="00B30A50"/>
    <w:rsid w:val="00B30CE1"/>
    <w:rsid w:val="00B329A7"/>
    <w:rsid w:val="00B33C06"/>
    <w:rsid w:val="00B34768"/>
    <w:rsid w:val="00B34834"/>
    <w:rsid w:val="00B351E8"/>
    <w:rsid w:val="00B37C46"/>
    <w:rsid w:val="00B37EB6"/>
    <w:rsid w:val="00B4003A"/>
    <w:rsid w:val="00B411CE"/>
    <w:rsid w:val="00B41985"/>
    <w:rsid w:val="00B421BE"/>
    <w:rsid w:val="00B42D82"/>
    <w:rsid w:val="00B4399D"/>
    <w:rsid w:val="00B43D70"/>
    <w:rsid w:val="00B4445E"/>
    <w:rsid w:val="00B45E8B"/>
    <w:rsid w:val="00B477DC"/>
    <w:rsid w:val="00B47F33"/>
    <w:rsid w:val="00B50B59"/>
    <w:rsid w:val="00B51BBE"/>
    <w:rsid w:val="00B54A0A"/>
    <w:rsid w:val="00B55970"/>
    <w:rsid w:val="00B55A4F"/>
    <w:rsid w:val="00B560B1"/>
    <w:rsid w:val="00B56498"/>
    <w:rsid w:val="00B5733E"/>
    <w:rsid w:val="00B61206"/>
    <w:rsid w:val="00B6177E"/>
    <w:rsid w:val="00B63568"/>
    <w:rsid w:val="00B64217"/>
    <w:rsid w:val="00B65019"/>
    <w:rsid w:val="00B655D2"/>
    <w:rsid w:val="00B67BA9"/>
    <w:rsid w:val="00B67DB4"/>
    <w:rsid w:val="00B70127"/>
    <w:rsid w:val="00B72B36"/>
    <w:rsid w:val="00B735DD"/>
    <w:rsid w:val="00B74EEB"/>
    <w:rsid w:val="00B760C1"/>
    <w:rsid w:val="00B7681A"/>
    <w:rsid w:val="00B770F9"/>
    <w:rsid w:val="00B821C8"/>
    <w:rsid w:val="00B82353"/>
    <w:rsid w:val="00B845E7"/>
    <w:rsid w:val="00B8498D"/>
    <w:rsid w:val="00B856FD"/>
    <w:rsid w:val="00B8649A"/>
    <w:rsid w:val="00B86695"/>
    <w:rsid w:val="00B8754C"/>
    <w:rsid w:val="00B875F2"/>
    <w:rsid w:val="00B877DE"/>
    <w:rsid w:val="00B90F57"/>
    <w:rsid w:val="00B91B3C"/>
    <w:rsid w:val="00B91E73"/>
    <w:rsid w:val="00B9458D"/>
    <w:rsid w:val="00B9703B"/>
    <w:rsid w:val="00BA0130"/>
    <w:rsid w:val="00BA0173"/>
    <w:rsid w:val="00BA073C"/>
    <w:rsid w:val="00BA15A8"/>
    <w:rsid w:val="00BA1EAB"/>
    <w:rsid w:val="00BA398A"/>
    <w:rsid w:val="00BA3D72"/>
    <w:rsid w:val="00BA4C30"/>
    <w:rsid w:val="00BA54F2"/>
    <w:rsid w:val="00BA602F"/>
    <w:rsid w:val="00BA654A"/>
    <w:rsid w:val="00BA70C9"/>
    <w:rsid w:val="00BA734D"/>
    <w:rsid w:val="00BA7BDE"/>
    <w:rsid w:val="00BB3AB0"/>
    <w:rsid w:val="00BB3D79"/>
    <w:rsid w:val="00BB3FD8"/>
    <w:rsid w:val="00BB5E48"/>
    <w:rsid w:val="00BB6860"/>
    <w:rsid w:val="00BB7C65"/>
    <w:rsid w:val="00BC069D"/>
    <w:rsid w:val="00BC0BC5"/>
    <w:rsid w:val="00BC32B7"/>
    <w:rsid w:val="00BC3AF3"/>
    <w:rsid w:val="00BC4289"/>
    <w:rsid w:val="00BC4598"/>
    <w:rsid w:val="00BC5FC9"/>
    <w:rsid w:val="00BC6030"/>
    <w:rsid w:val="00BC72EB"/>
    <w:rsid w:val="00BC7A1E"/>
    <w:rsid w:val="00BC7B75"/>
    <w:rsid w:val="00BD3504"/>
    <w:rsid w:val="00BD38A9"/>
    <w:rsid w:val="00BD38B6"/>
    <w:rsid w:val="00BD44F1"/>
    <w:rsid w:val="00BD58F1"/>
    <w:rsid w:val="00BD6775"/>
    <w:rsid w:val="00BD758E"/>
    <w:rsid w:val="00BE0A34"/>
    <w:rsid w:val="00BE0D61"/>
    <w:rsid w:val="00BE14A6"/>
    <w:rsid w:val="00BE4509"/>
    <w:rsid w:val="00BE4968"/>
    <w:rsid w:val="00BE7E4C"/>
    <w:rsid w:val="00BF0703"/>
    <w:rsid w:val="00BF1E71"/>
    <w:rsid w:val="00BF2C15"/>
    <w:rsid w:val="00BF4A44"/>
    <w:rsid w:val="00BF5D70"/>
    <w:rsid w:val="00BF637A"/>
    <w:rsid w:val="00BF7662"/>
    <w:rsid w:val="00BF7DA8"/>
    <w:rsid w:val="00C0062B"/>
    <w:rsid w:val="00C006F5"/>
    <w:rsid w:val="00C035CE"/>
    <w:rsid w:val="00C04842"/>
    <w:rsid w:val="00C070B8"/>
    <w:rsid w:val="00C07957"/>
    <w:rsid w:val="00C1089C"/>
    <w:rsid w:val="00C11E47"/>
    <w:rsid w:val="00C12245"/>
    <w:rsid w:val="00C12F47"/>
    <w:rsid w:val="00C1316C"/>
    <w:rsid w:val="00C135AB"/>
    <w:rsid w:val="00C137F0"/>
    <w:rsid w:val="00C14F13"/>
    <w:rsid w:val="00C1506F"/>
    <w:rsid w:val="00C17773"/>
    <w:rsid w:val="00C17F0F"/>
    <w:rsid w:val="00C204CB"/>
    <w:rsid w:val="00C2064C"/>
    <w:rsid w:val="00C20EC8"/>
    <w:rsid w:val="00C2113B"/>
    <w:rsid w:val="00C2167F"/>
    <w:rsid w:val="00C21D79"/>
    <w:rsid w:val="00C22F42"/>
    <w:rsid w:val="00C2394F"/>
    <w:rsid w:val="00C23A36"/>
    <w:rsid w:val="00C2432B"/>
    <w:rsid w:val="00C24CB0"/>
    <w:rsid w:val="00C251FD"/>
    <w:rsid w:val="00C26C96"/>
    <w:rsid w:val="00C26EFD"/>
    <w:rsid w:val="00C270F9"/>
    <w:rsid w:val="00C278A8"/>
    <w:rsid w:val="00C331D1"/>
    <w:rsid w:val="00C3326B"/>
    <w:rsid w:val="00C35620"/>
    <w:rsid w:val="00C362A4"/>
    <w:rsid w:val="00C37625"/>
    <w:rsid w:val="00C378C4"/>
    <w:rsid w:val="00C421A5"/>
    <w:rsid w:val="00C4426D"/>
    <w:rsid w:val="00C451F6"/>
    <w:rsid w:val="00C455A6"/>
    <w:rsid w:val="00C46DF4"/>
    <w:rsid w:val="00C47313"/>
    <w:rsid w:val="00C47DF5"/>
    <w:rsid w:val="00C50BE3"/>
    <w:rsid w:val="00C51D63"/>
    <w:rsid w:val="00C52775"/>
    <w:rsid w:val="00C52C9A"/>
    <w:rsid w:val="00C52F3F"/>
    <w:rsid w:val="00C547E2"/>
    <w:rsid w:val="00C55586"/>
    <w:rsid w:val="00C5778E"/>
    <w:rsid w:val="00C60E70"/>
    <w:rsid w:val="00C6238D"/>
    <w:rsid w:val="00C62B31"/>
    <w:rsid w:val="00C648C6"/>
    <w:rsid w:val="00C66723"/>
    <w:rsid w:val="00C70473"/>
    <w:rsid w:val="00C70A8D"/>
    <w:rsid w:val="00C7130D"/>
    <w:rsid w:val="00C717BE"/>
    <w:rsid w:val="00C73265"/>
    <w:rsid w:val="00C74528"/>
    <w:rsid w:val="00C75F3F"/>
    <w:rsid w:val="00C763C6"/>
    <w:rsid w:val="00C7683B"/>
    <w:rsid w:val="00C77A49"/>
    <w:rsid w:val="00C77A9C"/>
    <w:rsid w:val="00C804CE"/>
    <w:rsid w:val="00C8081C"/>
    <w:rsid w:val="00C836A1"/>
    <w:rsid w:val="00C841FB"/>
    <w:rsid w:val="00C9291C"/>
    <w:rsid w:val="00C940D9"/>
    <w:rsid w:val="00C94530"/>
    <w:rsid w:val="00C94DED"/>
    <w:rsid w:val="00C95385"/>
    <w:rsid w:val="00C960DD"/>
    <w:rsid w:val="00CA002F"/>
    <w:rsid w:val="00CA06B3"/>
    <w:rsid w:val="00CA3473"/>
    <w:rsid w:val="00CA49F6"/>
    <w:rsid w:val="00CA7632"/>
    <w:rsid w:val="00CA7EB6"/>
    <w:rsid w:val="00CB0307"/>
    <w:rsid w:val="00CB054C"/>
    <w:rsid w:val="00CB23BE"/>
    <w:rsid w:val="00CB2497"/>
    <w:rsid w:val="00CB308A"/>
    <w:rsid w:val="00CB321B"/>
    <w:rsid w:val="00CB42CF"/>
    <w:rsid w:val="00CB7386"/>
    <w:rsid w:val="00CB79D9"/>
    <w:rsid w:val="00CB7DE3"/>
    <w:rsid w:val="00CC0725"/>
    <w:rsid w:val="00CC098B"/>
    <w:rsid w:val="00CC2ACE"/>
    <w:rsid w:val="00CC2CB5"/>
    <w:rsid w:val="00CC6DF8"/>
    <w:rsid w:val="00CC7B2E"/>
    <w:rsid w:val="00CC7FAB"/>
    <w:rsid w:val="00CD0062"/>
    <w:rsid w:val="00CD0205"/>
    <w:rsid w:val="00CD0E5B"/>
    <w:rsid w:val="00CD16BE"/>
    <w:rsid w:val="00CD2D23"/>
    <w:rsid w:val="00CD32D8"/>
    <w:rsid w:val="00CD4417"/>
    <w:rsid w:val="00CD6B60"/>
    <w:rsid w:val="00CD6D42"/>
    <w:rsid w:val="00CD6F09"/>
    <w:rsid w:val="00CD72EC"/>
    <w:rsid w:val="00CE0066"/>
    <w:rsid w:val="00CE0300"/>
    <w:rsid w:val="00CE1B39"/>
    <w:rsid w:val="00CE30A9"/>
    <w:rsid w:val="00CE3348"/>
    <w:rsid w:val="00CE3816"/>
    <w:rsid w:val="00CE38CD"/>
    <w:rsid w:val="00CE3A32"/>
    <w:rsid w:val="00CE5B9A"/>
    <w:rsid w:val="00CE63B9"/>
    <w:rsid w:val="00CE6AF0"/>
    <w:rsid w:val="00CE7C00"/>
    <w:rsid w:val="00CF3389"/>
    <w:rsid w:val="00CF373F"/>
    <w:rsid w:val="00CF3B36"/>
    <w:rsid w:val="00CF3CBD"/>
    <w:rsid w:val="00CF468F"/>
    <w:rsid w:val="00CF4A16"/>
    <w:rsid w:val="00CF779F"/>
    <w:rsid w:val="00D020E7"/>
    <w:rsid w:val="00D02A2A"/>
    <w:rsid w:val="00D03956"/>
    <w:rsid w:val="00D04CF9"/>
    <w:rsid w:val="00D04D26"/>
    <w:rsid w:val="00D04F62"/>
    <w:rsid w:val="00D05E73"/>
    <w:rsid w:val="00D11047"/>
    <w:rsid w:val="00D117BB"/>
    <w:rsid w:val="00D11A75"/>
    <w:rsid w:val="00D11F6E"/>
    <w:rsid w:val="00D16C00"/>
    <w:rsid w:val="00D17C59"/>
    <w:rsid w:val="00D17F50"/>
    <w:rsid w:val="00D216CF"/>
    <w:rsid w:val="00D21B5E"/>
    <w:rsid w:val="00D22424"/>
    <w:rsid w:val="00D22D83"/>
    <w:rsid w:val="00D24952"/>
    <w:rsid w:val="00D255AF"/>
    <w:rsid w:val="00D31FEA"/>
    <w:rsid w:val="00D3490E"/>
    <w:rsid w:val="00D36034"/>
    <w:rsid w:val="00D37FCD"/>
    <w:rsid w:val="00D40A95"/>
    <w:rsid w:val="00D4175B"/>
    <w:rsid w:val="00D428E5"/>
    <w:rsid w:val="00D428EA"/>
    <w:rsid w:val="00D44F8A"/>
    <w:rsid w:val="00D453C8"/>
    <w:rsid w:val="00D478BF"/>
    <w:rsid w:val="00D51187"/>
    <w:rsid w:val="00D5219D"/>
    <w:rsid w:val="00D55E27"/>
    <w:rsid w:val="00D55F28"/>
    <w:rsid w:val="00D560B4"/>
    <w:rsid w:val="00D562B9"/>
    <w:rsid w:val="00D567E1"/>
    <w:rsid w:val="00D60216"/>
    <w:rsid w:val="00D62109"/>
    <w:rsid w:val="00D63FD9"/>
    <w:rsid w:val="00D66056"/>
    <w:rsid w:val="00D66868"/>
    <w:rsid w:val="00D67AE2"/>
    <w:rsid w:val="00D67EC1"/>
    <w:rsid w:val="00D73B62"/>
    <w:rsid w:val="00D746D8"/>
    <w:rsid w:val="00D747F0"/>
    <w:rsid w:val="00D75274"/>
    <w:rsid w:val="00D768E4"/>
    <w:rsid w:val="00D81F4E"/>
    <w:rsid w:val="00D830FC"/>
    <w:rsid w:val="00D832D0"/>
    <w:rsid w:val="00D849EE"/>
    <w:rsid w:val="00D85589"/>
    <w:rsid w:val="00D860A8"/>
    <w:rsid w:val="00D86DD4"/>
    <w:rsid w:val="00D87B89"/>
    <w:rsid w:val="00D92C2B"/>
    <w:rsid w:val="00D96896"/>
    <w:rsid w:val="00D97A01"/>
    <w:rsid w:val="00D97B25"/>
    <w:rsid w:val="00DA03CD"/>
    <w:rsid w:val="00DA0CDD"/>
    <w:rsid w:val="00DA1A3D"/>
    <w:rsid w:val="00DA21E3"/>
    <w:rsid w:val="00DA29D1"/>
    <w:rsid w:val="00DA3EE4"/>
    <w:rsid w:val="00DA45B8"/>
    <w:rsid w:val="00DA50F8"/>
    <w:rsid w:val="00DA599C"/>
    <w:rsid w:val="00DA68A6"/>
    <w:rsid w:val="00DA6E30"/>
    <w:rsid w:val="00DA79CC"/>
    <w:rsid w:val="00DA7C15"/>
    <w:rsid w:val="00DB0580"/>
    <w:rsid w:val="00DB114E"/>
    <w:rsid w:val="00DB3168"/>
    <w:rsid w:val="00DB50C7"/>
    <w:rsid w:val="00DB592C"/>
    <w:rsid w:val="00DB6201"/>
    <w:rsid w:val="00DB63C7"/>
    <w:rsid w:val="00DB7D0C"/>
    <w:rsid w:val="00DC07C3"/>
    <w:rsid w:val="00DC0D51"/>
    <w:rsid w:val="00DC1A50"/>
    <w:rsid w:val="00DC230D"/>
    <w:rsid w:val="00DC29F5"/>
    <w:rsid w:val="00DC2D1F"/>
    <w:rsid w:val="00DC2E04"/>
    <w:rsid w:val="00DC39EA"/>
    <w:rsid w:val="00DC3E02"/>
    <w:rsid w:val="00DC47A5"/>
    <w:rsid w:val="00DC60CB"/>
    <w:rsid w:val="00DC73B2"/>
    <w:rsid w:val="00DD038C"/>
    <w:rsid w:val="00DD09E5"/>
    <w:rsid w:val="00DD21FF"/>
    <w:rsid w:val="00DD24CF"/>
    <w:rsid w:val="00DD2572"/>
    <w:rsid w:val="00DD4679"/>
    <w:rsid w:val="00DD49D2"/>
    <w:rsid w:val="00DD7831"/>
    <w:rsid w:val="00DE068C"/>
    <w:rsid w:val="00DE1D95"/>
    <w:rsid w:val="00DE2D3A"/>
    <w:rsid w:val="00DE3112"/>
    <w:rsid w:val="00DE4574"/>
    <w:rsid w:val="00DE4739"/>
    <w:rsid w:val="00DE558F"/>
    <w:rsid w:val="00DE6541"/>
    <w:rsid w:val="00DE71E6"/>
    <w:rsid w:val="00DF002E"/>
    <w:rsid w:val="00DF07F9"/>
    <w:rsid w:val="00DF0CEE"/>
    <w:rsid w:val="00DF1AC7"/>
    <w:rsid w:val="00DF2BC9"/>
    <w:rsid w:val="00DF398A"/>
    <w:rsid w:val="00DF4B9D"/>
    <w:rsid w:val="00DF5919"/>
    <w:rsid w:val="00DF74B8"/>
    <w:rsid w:val="00E0240C"/>
    <w:rsid w:val="00E02818"/>
    <w:rsid w:val="00E02F34"/>
    <w:rsid w:val="00E04058"/>
    <w:rsid w:val="00E046E7"/>
    <w:rsid w:val="00E0581F"/>
    <w:rsid w:val="00E06653"/>
    <w:rsid w:val="00E109DD"/>
    <w:rsid w:val="00E12144"/>
    <w:rsid w:val="00E12CFE"/>
    <w:rsid w:val="00E136EF"/>
    <w:rsid w:val="00E14DEB"/>
    <w:rsid w:val="00E1524D"/>
    <w:rsid w:val="00E16F07"/>
    <w:rsid w:val="00E174BA"/>
    <w:rsid w:val="00E17F12"/>
    <w:rsid w:val="00E20467"/>
    <w:rsid w:val="00E20E41"/>
    <w:rsid w:val="00E21B18"/>
    <w:rsid w:val="00E22B86"/>
    <w:rsid w:val="00E23533"/>
    <w:rsid w:val="00E27AA7"/>
    <w:rsid w:val="00E27B23"/>
    <w:rsid w:val="00E30CB9"/>
    <w:rsid w:val="00E31801"/>
    <w:rsid w:val="00E321CD"/>
    <w:rsid w:val="00E33339"/>
    <w:rsid w:val="00E339E1"/>
    <w:rsid w:val="00E33C67"/>
    <w:rsid w:val="00E3490C"/>
    <w:rsid w:val="00E34E55"/>
    <w:rsid w:val="00E36B50"/>
    <w:rsid w:val="00E3795D"/>
    <w:rsid w:val="00E40DC6"/>
    <w:rsid w:val="00E428F0"/>
    <w:rsid w:val="00E451F5"/>
    <w:rsid w:val="00E463A0"/>
    <w:rsid w:val="00E4653B"/>
    <w:rsid w:val="00E50316"/>
    <w:rsid w:val="00E5178A"/>
    <w:rsid w:val="00E517C7"/>
    <w:rsid w:val="00E54256"/>
    <w:rsid w:val="00E551DE"/>
    <w:rsid w:val="00E610C9"/>
    <w:rsid w:val="00E6332E"/>
    <w:rsid w:val="00E64ED8"/>
    <w:rsid w:val="00E64FEC"/>
    <w:rsid w:val="00E6546A"/>
    <w:rsid w:val="00E6607A"/>
    <w:rsid w:val="00E66C94"/>
    <w:rsid w:val="00E67067"/>
    <w:rsid w:val="00E67664"/>
    <w:rsid w:val="00E67E49"/>
    <w:rsid w:val="00E7385D"/>
    <w:rsid w:val="00E74DF8"/>
    <w:rsid w:val="00E7595E"/>
    <w:rsid w:val="00E76112"/>
    <w:rsid w:val="00E76F71"/>
    <w:rsid w:val="00E774DF"/>
    <w:rsid w:val="00E77D8D"/>
    <w:rsid w:val="00E802C6"/>
    <w:rsid w:val="00E803C3"/>
    <w:rsid w:val="00E81D54"/>
    <w:rsid w:val="00E83777"/>
    <w:rsid w:val="00E83823"/>
    <w:rsid w:val="00E84563"/>
    <w:rsid w:val="00E85DBD"/>
    <w:rsid w:val="00E90B7C"/>
    <w:rsid w:val="00E911F3"/>
    <w:rsid w:val="00E91538"/>
    <w:rsid w:val="00E9227F"/>
    <w:rsid w:val="00E93453"/>
    <w:rsid w:val="00E938C1"/>
    <w:rsid w:val="00E95189"/>
    <w:rsid w:val="00E95862"/>
    <w:rsid w:val="00E96134"/>
    <w:rsid w:val="00E96F20"/>
    <w:rsid w:val="00E96F7C"/>
    <w:rsid w:val="00E97817"/>
    <w:rsid w:val="00EA0CAC"/>
    <w:rsid w:val="00EA248A"/>
    <w:rsid w:val="00EA2DDF"/>
    <w:rsid w:val="00EA3707"/>
    <w:rsid w:val="00EA40B6"/>
    <w:rsid w:val="00EA42C2"/>
    <w:rsid w:val="00EA5963"/>
    <w:rsid w:val="00EA6363"/>
    <w:rsid w:val="00EA67CA"/>
    <w:rsid w:val="00EA6831"/>
    <w:rsid w:val="00EA7748"/>
    <w:rsid w:val="00EA77DF"/>
    <w:rsid w:val="00EA7AAF"/>
    <w:rsid w:val="00EB0D42"/>
    <w:rsid w:val="00EB0FC0"/>
    <w:rsid w:val="00EB1DDE"/>
    <w:rsid w:val="00EB3036"/>
    <w:rsid w:val="00EB4D1C"/>
    <w:rsid w:val="00EB55B8"/>
    <w:rsid w:val="00EB5FFD"/>
    <w:rsid w:val="00EC0869"/>
    <w:rsid w:val="00EC0D0C"/>
    <w:rsid w:val="00EC14CD"/>
    <w:rsid w:val="00EC190B"/>
    <w:rsid w:val="00EC24FA"/>
    <w:rsid w:val="00EC2B3F"/>
    <w:rsid w:val="00EC6B20"/>
    <w:rsid w:val="00ED09E0"/>
    <w:rsid w:val="00ED1070"/>
    <w:rsid w:val="00ED2DCB"/>
    <w:rsid w:val="00ED4DFE"/>
    <w:rsid w:val="00ED504D"/>
    <w:rsid w:val="00ED533D"/>
    <w:rsid w:val="00ED57F1"/>
    <w:rsid w:val="00ED602F"/>
    <w:rsid w:val="00ED70CF"/>
    <w:rsid w:val="00EE114F"/>
    <w:rsid w:val="00EE1BD4"/>
    <w:rsid w:val="00EE21DC"/>
    <w:rsid w:val="00EE2E14"/>
    <w:rsid w:val="00EE307D"/>
    <w:rsid w:val="00EE3B1B"/>
    <w:rsid w:val="00EE6013"/>
    <w:rsid w:val="00EE761F"/>
    <w:rsid w:val="00EE785C"/>
    <w:rsid w:val="00EF0ACD"/>
    <w:rsid w:val="00EF1371"/>
    <w:rsid w:val="00EF2EE6"/>
    <w:rsid w:val="00EF468C"/>
    <w:rsid w:val="00EF4F94"/>
    <w:rsid w:val="00EF59C1"/>
    <w:rsid w:val="00EF5E3F"/>
    <w:rsid w:val="00EF7C9B"/>
    <w:rsid w:val="00F000B6"/>
    <w:rsid w:val="00F00170"/>
    <w:rsid w:val="00F02C13"/>
    <w:rsid w:val="00F02FDC"/>
    <w:rsid w:val="00F0416D"/>
    <w:rsid w:val="00F041C1"/>
    <w:rsid w:val="00F05B5B"/>
    <w:rsid w:val="00F06CE7"/>
    <w:rsid w:val="00F06DBB"/>
    <w:rsid w:val="00F07096"/>
    <w:rsid w:val="00F0716A"/>
    <w:rsid w:val="00F0789F"/>
    <w:rsid w:val="00F1083D"/>
    <w:rsid w:val="00F10948"/>
    <w:rsid w:val="00F11FC9"/>
    <w:rsid w:val="00F1255E"/>
    <w:rsid w:val="00F12603"/>
    <w:rsid w:val="00F12651"/>
    <w:rsid w:val="00F13A92"/>
    <w:rsid w:val="00F13BA4"/>
    <w:rsid w:val="00F14E94"/>
    <w:rsid w:val="00F16043"/>
    <w:rsid w:val="00F1613E"/>
    <w:rsid w:val="00F20858"/>
    <w:rsid w:val="00F2202C"/>
    <w:rsid w:val="00F22746"/>
    <w:rsid w:val="00F23F46"/>
    <w:rsid w:val="00F24D15"/>
    <w:rsid w:val="00F255B4"/>
    <w:rsid w:val="00F264D2"/>
    <w:rsid w:val="00F274C5"/>
    <w:rsid w:val="00F30C80"/>
    <w:rsid w:val="00F333F8"/>
    <w:rsid w:val="00F34AD2"/>
    <w:rsid w:val="00F34EC6"/>
    <w:rsid w:val="00F34F88"/>
    <w:rsid w:val="00F3530A"/>
    <w:rsid w:val="00F35736"/>
    <w:rsid w:val="00F3604B"/>
    <w:rsid w:val="00F367EF"/>
    <w:rsid w:val="00F374CB"/>
    <w:rsid w:val="00F402A5"/>
    <w:rsid w:val="00F40650"/>
    <w:rsid w:val="00F411DB"/>
    <w:rsid w:val="00F432A6"/>
    <w:rsid w:val="00F43BD5"/>
    <w:rsid w:val="00F44056"/>
    <w:rsid w:val="00F442F4"/>
    <w:rsid w:val="00F44ED2"/>
    <w:rsid w:val="00F45455"/>
    <w:rsid w:val="00F46D06"/>
    <w:rsid w:val="00F472D8"/>
    <w:rsid w:val="00F50DFE"/>
    <w:rsid w:val="00F514A5"/>
    <w:rsid w:val="00F5362C"/>
    <w:rsid w:val="00F56525"/>
    <w:rsid w:val="00F603CF"/>
    <w:rsid w:val="00F610A0"/>
    <w:rsid w:val="00F61EBE"/>
    <w:rsid w:val="00F62B18"/>
    <w:rsid w:val="00F6327D"/>
    <w:rsid w:val="00F63B5B"/>
    <w:rsid w:val="00F6453F"/>
    <w:rsid w:val="00F64FA1"/>
    <w:rsid w:val="00F70AC3"/>
    <w:rsid w:val="00F7121B"/>
    <w:rsid w:val="00F72CE3"/>
    <w:rsid w:val="00F73A9D"/>
    <w:rsid w:val="00F74CE4"/>
    <w:rsid w:val="00F74FE7"/>
    <w:rsid w:val="00F77D55"/>
    <w:rsid w:val="00F82D72"/>
    <w:rsid w:val="00F84DCC"/>
    <w:rsid w:val="00F85A1A"/>
    <w:rsid w:val="00F8659B"/>
    <w:rsid w:val="00F8721A"/>
    <w:rsid w:val="00F87C91"/>
    <w:rsid w:val="00F87E0B"/>
    <w:rsid w:val="00F90684"/>
    <w:rsid w:val="00F90DE3"/>
    <w:rsid w:val="00F90E4C"/>
    <w:rsid w:val="00F91F76"/>
    <w:rsid w:val="00F92139"/>
    <w:rsid w:val="00F92A7A"/>
    <w:rsid w:val="00F94B40"/>
    <w:rsid w:val="00F94D74"/>
    <w:rsid w:val="00F955DF"/>
    <w:rsid w:val="00F9567E"/>
    <w:rsid w:val="00F963F1"/>
    <w:rsid w:val="00F966FA"/>
    <w:rsid w:val="00F96EB6"/>
    <w:rsid w:val="00F96F1F"/>
    <w:rsid w:val="00F97587"/>
    <w:rsid w:val="00FA03C5"/>
    <w:rsid w:val="00FA1309"/>
    <w:rsid w:val="00FA16E6"/>
    <w:rsid w:val="00FA19EC"/>
    <w:rsid w:val="00FA20D4"/>
    <w:rsid w:val="00FA237E"/>
    <w:rsid w:val="00FA241B"/>
    <w:rsid w:val="00FA3024"/>
    <w:rsid w:val="00FA36D3"/>
    <w:rsid w:val="00FA3F80"/>
    <w:rsid w:val="00FA4425"/>
    <w:rsid w:val="00FA4F1B"/>
    <w:rsid w:val="00FA652B"/>
    <w:rsid w:val="00FA6A00"/>
    <w:rsid w:val="00FA71CF"/>
    <w:rsid w:val="00FB1845"/>
    <w:rsid w:val="00FB2020"/>
    <w:rsid w:val="00FB535B"/>
    <w:rsid w:val="00FB75DD"/>
    <w:rsid w:val="00FC0512"/>
    <w:rsid w:val="00FC0696"/>
    <w:rsid w:val="00FC0D48"/>
    <w:rsid w:val="00FC0F59"/>
    <w:rsid w:val="00FC38CD"/>
    <w:rsid w:val="00FC53EC"/>
    <w:rsid w:val="00FC5EF1"/>
    <w:rsid w:val="00FC6FED"/>
    <w:rsid w:val="00FC726D"/>
    <w:rsid w:val="00FD013E"/>
    <w:rsid w:val="00FD3BE2"/>
    <w:rsid w:val="00FD496B"/>
    <w:rsid w:val="00FD49A1"/>
    <w:rsid w:val="00FD519E"/>
    <w:rsid w:val="00FD69D6"/>
    <w:rsid w:val="00FE03E4"/>
    <w:rsid w:val="00FE1977"/>
    <w:rsid w:val="00FE2125"/>
    <w:rsid w:val="00FE281D"/>
    <w:rsid w:val="00FE2C1A"/>
    <w:rsid w:val="00FE4BE4"/>
    <w:rsid w:val="00FE527F"/>
    <w:rsid w:val="00FE58F2"/>
    <w:rsid w:val="00FE5A5D"/>
    <w:rsid w:val="00FE5F4D"/>
    <w:rsid w:val="00FE6F49"/>
    <w:rsid w:val="00FE74F4"/>
    <w:rsid w:val="00FE7BD1"/>
    <w:rsid w:val="00FF0578"/>
    <w:rsid w:val="00FF0936"/>
    <w:rsid w:val="00FF221D"/>
    <w:rsid w:val="00FF2D99"/>
    <w:rsid w:val="00FF3631"/>
    <w:rsid w:val="00FF509D"/>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E6C30"/>
  <w15:chartTrackingRefBased/>
  <w15:docId w15:val="{856F9E93-3A95-4529-8472-22E68735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11"/>
    <w:pPr>
      <w:ind w:left="720"/>
      <w:contextualSpacing/>
    </w:pPr>
  </w:style>
  <w:style w:type="paragraph" w:styleId="Header">
    <w:name w:val="header"/>
    <w:basedOn w:val="Normal"/>
    <w:link w:val="HeaderChar"/>
    <w:uiPriority w:val="99"/>
    <w:unhideWhenUsed/>
    <w:rsid w:val="0072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11"/>
  </w:style>
  <w:style w:type="paragraph" w:styleId="Footer">
    <w:name w:val="footer"/>
    <w:basedOn w:val="Normal"/>
    <w:link w:val="FooterChar"/>
    <w:uiPriority w:val="99"/>
    <w:unhideWhenUsed/>
    <w:rsid w:val="0072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911"/>
  </w:style>
  <w:style w:type="paragraph" w:customStyle="1" w:styleId="SectionHeading">
    <w:name w:val="Section Heading"/>
    <w:basedOn w:val="Normal"/>
    <w:link w:val="SectionHeadingChar"/>
    <w:qFormat/>
    <w:rsid w:val="00727911"/>
    <w:pPr>
      <w:spacing w:after="0" w:line="240" w:lineRule="auto"/>
    </w:pPr>
    <w:rPr>
      <w:rFonts w:ascii="Times New Roman" w:eastAsia="Calibri" w:hAnsi="Times New Roman" w:cs="Times New Roman"/>
      <w:b/>
      <w:sz w:val="24"/>
      <w:szCs w:val="24"/>
      <w:u w:val="single"/>
    </w:rPr>
  </w:style>
  <w:style w:type="paragraph" w:customStyle="1" w:styleId="Subheading">
    <w:name w:val="Subheading"/>
    <w:basedOn w:val="Normal"/>
    <w:link w:val="SubheadingChar"/>
    <w:qFormat/>
    <w:rsid w:val="00727911"/>
    <w:pPr>
      <w:autoSpaceDE w:val="0"/>
      <w:autoSpaceDN w:val="0"/>
      <w:adjustRightInd w:val="0"/>
      <w:spacing w:after="0" w:line="240" w:lineRule="auto"/>
    </w:pPr>
    <w:rPr>
      <w:rFonts w:ascii="Times New Roman" w:eastAsia="Calibri" w:hAnsi="Times New Roman" w:cs="Times New Roman"/>
      <w:b/>
      <w:color w:val="000000"/>
      <w:sz w:val="24"/>
      <w:szCs w:val="24"/>
    </w:rPr>
  </w:style>
  <w:style w:type="character" w:customStyle="1" w:styleId="SectionHeadingChar">
    <w:name w:val="Section Heading Char"/>
    <w:basedOn w:val="DefaultParagraphFont"/>
    <w:link w:val="SectionHeading"/>
    <w:rsid w:val="00727911"/>
    <w:rPr>
      <w:rFonts w:ascii="Times New Roman" w:eastAsia="Calibri" w:hAnsi="Times New Roman" w:cs="Times New Roman"/>
      <w:b/>
      <w:sz w:val="24"/>
      <w:szCs w:val="24"/>
      <w:u w:val="single"/>
    </w:rPr>
  </w:style>
  <w:style w:type="character" w:customStyle="1" w:styleId="SubheadingChar">
    <w:name w:val="Subheading Char"/>
    <w:basedOn w:val="DefaultParagraphFont"/>
    <w:link w:val="Subheading"/>
    <w:rsid w:val="00727911"/>
    <w:rPr>
      <w:rFonts w:ascii="Times New Roman" w:eastAsia="Calibri" w:hAnsi="Times New Roman" w:cs="Times New Roman"/>
      <w:b/>
      <w:color w:val="000000"/>
      <w:sz w:val="24"/>
      <w:szCs w:val="24"/>
    </w:rPr>
  </w:style>
  <w:style w:type="character" w:styleId="Hyperlink">
    <w:name w:val="Hyperlink"/>
    <w:basedOn w:val="DefaultParagraphFont"/>
    <w:uiPriority w:val="99"/>
    <w:unhideWhenUsed/>
    <w:rsid w:val="00727911"/>
    <w:rPr>
      <w:color w:val="0563C1" w:themeColor="hyperlink"/>
      <w:u w:val="single"/>
    </w:rPr>
  </w:style>
  <w:style w:type="character" w:styleId="FollowedHyperlink">
    <w:name w:val="FollowedHyperlink"/>
    <w:basedOn w:val="DefaultParagraphFont"/>
    <w:uiPriority w:val="99"/>
    <w:semiHidden/>
    <w:unhideWhenUsed/>
    <w:rsid w:val="001A0069"/>
    <w:rPr>
      <w:color w:val="954F72" w:themeColor="followedHyperlink"/>
      <w:u w:val="single"/>
    </w:rPr>
  </w:style>
  <w:style w:type="character" w:customStyle="1" w:styleId="UnresolvedMention1">
    <w:name w:val="Unresolved Mention1"/>
    <w:basedOn w:val="DefaultParagraphFont"/>
    <w:uiPriority w:val="99"/>
    <w:semiHidden/>
    <w:unhideWhenUsed/>
    <w:rsid w:val="00FA71CF"/>
    <w:rPr>
      <w:color w:val="605E5C"/>
      <w:shd w:val="clear" w:color="auto" w:fill="E1DFDD"/>
    </w:rPr>
  </w:style>
  <w:style w:type="paragraph" w:styleId="NormalWeb">
    <w:name w:val="Normal (Web)"/>
    <w:basedOn w:val="Normal"/>
    <w:uiPriority w:val="99"/>
    <w:semiHidden/>
    <w:unhideWhenUsed/>
    <w:rsid w:val="002514CC"/>
    <w:pPr>
      <w:spacing w:before="150" w:after="150" w:line="240" w:lineRule="auto"/>
    </w:pPr>
    <w:rPr>
      <w:rFonts w:ascii="Verdana" w:eastAsia="Times New Roman" w:hAnsi="Verdana" w:cs="Calibri"/>
      <w:sz w:val="20"/>
      <w:szCs w:val="20"/>
    </w:rPr>
  </w:style>
  <w:style w:type="character" w:customStyle="1" w:styleId="morecontent">
    <w:name w:val="morecontent"/>
    <w:basedOn w:val="DefaultParagraphFont"/>
    <w:rsid w:val="00BC5FC9"/>
  </w:style>
  <w:style w:type="character" w:styleId="Strong">
    <w:name w:val="Strong"/>
    <w:basedOn w:val="DefaultParagraphFont"/>
    <w:uiPriority w:val="22"/>
    <w:qFormat/>
    <w:rsid w:val="00C6238D"/>
    <w:rPr>
      <w:rFonts w:cs="Times New Roman"/>
      <w:b/>
      <w:bCs/>
    </w:rPr>
  </w:style>
  <w:style w:type="paragraph" w:styleId="BalloonText">
    <w:name w:val="Balloon Text"/>
    <w:basedOn w:val="Normal"/>
    <w:link w:val="BalloonTextChar"/>
    <w:uiPriority w:val="99"/>
    <w:semiHidden/>
    <w:unhideWhenUsed/>
    <w:rsid w:val="00460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B6"/>
    <w:rPr>
      <w:rFonts w:ascii="Segoe UI" w:hAnsi="Segoe UI" w:cs="Segoe UI"/>
      <w:sz w:val="18"/>
      <w:szCs w:val="18"/>
    </w:rPr>
  </w:style>
  <w:style w:type="character" w:styleId="UnresolvedMention">
    <w:name w:val="Unresolved Mention"/>
    <w:basedOn w:val="DefaultParagraphFont"/>
    <w:uiPriority w:val="99"/>
    <w:semiHidden/>
    <w:unhideWhenUsed/>
    <w:rsid w:val="00A66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9465">
      <w:bodyDiv w:val="1"/>
      <w:marLeft w:val="0"/>
      <w:marRight w:val="0"/>
      <w:marTop w:val="0"/>
      <w:marBottom w:val="0"/>
      <w:divBdr>
        <w:top w:val="none" w:sz="0" w:space="0" w:color="auto"/>
        <w:left w:val="none" w:sz="0" w:space="0" w:color="auto"/>
        <w:bottom w:val="none" w:sz="0" w:space="0" w:color="auto"/>
        <w:right w:val="none" w:sz="0" w:space="0" w:color="auto"/>
      </w:divBdr>
    </w:div>
    <w:div w:id="585236897">
      <w:bodyDiv w:val="1"/>
      <w:marLeft w:val="0"/>
      <w:marRight w:val="0"/>
      <w:marTop w:val="0"/>
      <w:marBottom w:val="0"/>
      <w:divBdr>
        <w:top w:val="none" w:sz="0" w:space="0" w:color="auto"/>
        <w:left w:val="none" w:sz="0" w:space="0" w:color="auto"/>
        <w:bottom w:val="none" w:sz="0" w:space="0" w:color="auto"/>
        <w:right w:val="none" w:sz="0" w:space="0" w:color="auto"/>
      </w:divBdr>
    </w:div>
    <w:div w:id="623972671">
      <w:bodyDiv w:val="1"/>
      <w:marLeft w:val="0"/>
      <w:marRight w:val="0"/>
      <w:marTop w:val="0"/>
      <w:marBottom w:val="0"/>
      <w:divBdr>
        <w:top w:val="none" w:sz="0" w:space="0" w:color="auto"/>
        <w:left w:val="none" w:sz="0" w:space="0" w:color="auto"/>
        <w:bottom w:val="none" w:sz="0" w:space="0" w:color="auto"/>
        <w:right w:val="none" w:sz="0" w:space="0" w:color="auto"/>
      </w:divBdr>
    </w:div>
    <w:div w:id="709577513">
      <w:bodyDiv w:val="1"/>
      <w:marLeft w:val="0"/>
      <w:marRight w:val="0"/>
      <w:marTop w:val="0"/>
      <w:marBottom w:val="0"/>
      <w:divBdr>
        <w:top w:val="none" w:sz="0" w:space="0" w:color="auto"/>
        <w:left w:val="none" w:sz="0" w:space="0" w:color="auto"/>
        <w:bottom w:val="none" w:sz="0" w:space="0" w:color="auto"/>
        <w:right w:val="none" w:sz="0" w:space="0" w:color="auto"/>
      </w:divBdr>
    </w:div>
    <w:div w:id="732122590">
      <w:bodyDiv w:val="1"/>
      <w:marLeft w:val="0"/>
      <w:marRight w:val="0"/>
      <w:marTop w:val="0"/>
      <w:marBottom w:val="0"/>
      <w:divBdr>
        <w:top w:val="none" w:sz="0" w:space="0" w:color="auto"/>
        <w:left w:val="none" w:sz="0" w:space="0" w:color="auto"/>
        <w:bottom w:val="none" w:sz="0" w:space="0" w:color="auto"/>
        <w:right w:val="none" w:sz="0" w:space="0" w:color="auto"/>
      </w:divBdr>
    </w:div>
    <w:div w:id="1053041286">
      <w:bodyDiv w:val="1"/>
      <w:marLeft w:val="0"/>
      <w:marRight w:val="0"/>
      <w:marTop w:val="0"/>
      <w:marBottom w:val="0"/>
      <w:divBdr>
        <w:top w:val="none" w:sz="0" w:space="0" w:color="auto"/>
        <w:left w:val="none" w:sz="0" w:space="0" w:color="auto"/>
        <w:bottom w:val="none" w:sz="0" w:space="0" w:color="auto"/>
        <w:right w:val="none" w:sz="0" w:space="0" w:color="auto"/>
      </w:divBdr>
    </w:div>
    <w:div w:id="1375928644">
      <w:bodyDiv w:val="1"/>
      <w:marLeft w:val="0"/>
      <w:marRight w:val="0"/>
      <w:marTop w:val="0"/>
      <w:marBottom w:val="0"/>
      <w:divBdr>
        <w:top w:val="none" w:sz="0" w:space="0" w:color="auto"/>
        <w:left w:val="none" w:sz="0" w:space="0" w:color="auto"/>
        <w:bottom w:val="none" w:sz="0" w:space="0" w:color="auto"/>
        <w:right w:val="none" w:sz="0" w:space="0" w:color="auto"/>
      </w:divBdr>
    </w:div>
    <w:div w:id="1424648069">
      <w:bodyDiv w:val="1"/>
      <w:marLeft w:val="0"/>
      <w:marRight w:val="0"/>
      <w:marTop w:val="0"/>
      <w:marBottom w:val="0"/>
      <w:divBdr>
        <w:top w:val="none" w:sz="0" w:space="0" w:color="auto"/>
        <w:left w:val="none" w:sz="0" w:space="0" w:color="auto"/>
        <w:bottom w:val="none" w:sz="0" w:space="0" w:color="auto"/>
        <w:right w:val="none" w:sz="0" w:space="0" w:color="auto"/>
      </w:divBdr>
    </w:div>
    <w:div w:id="1992784467">
      <w:bodyDiv w:val="1"/>
      <w:marLeft w:val="0"/>
      <w:marRight w:val="0"/>
      <w:marTop w:val="0"/>
      <w:marBottom w:val="0"/>
      <w:divBdr>
        <w:top w:val="none" w:sz="0" w:space="0" w:color="auto"/>
        <w:left w:val="none" w:sz="0" w:space="0" w:color="auto"/>
        <w:bottom w:val="none" w:sz="0" w:space="0" w:color="auto"/>
        <w:right w:val="none" w:sz="0" w:space="0" w:color="auto"/>
      </w:divBdr>
    </w:div>
    <w:div w:id="2027632241">
      <w:bodyDiv w:val="1"/>
      <w:marLeft w:val="0"/>
      <w:marRight w:val="0"/>
      <w:marTop w:val="0"/>
      <w:marBottom w:val="0"/>
      <w:divBdr>
        <w:top w:val="none" w:sz="0" w:space="0" w:color="auto"/>
        <w:left w:val="none" w:sz="0" w:space="0" w:color="auto"/>
        <w:bottom w:val="none" w:sz="0" w:space="0" w:color="auto"/>
        <w:right w:val="none" w:sz="0" w:space="0" w:color="auto"/>
      </w:divBdr>
    </w:div>
    <w:div w:id="21202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phoenix\Misc-Shared\Resources\Weekly%20Market%20Brief\Market%20Brief\Weekly%20Index%20Performance_TEMP_DuringWF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200" b="0" i="0">
                <a:solidFill>
                  <a:sysClr val="windowText" lastClr="000000"/>
                </a:solidFill>
                <a:latin typeface="Arial" panose="020B0604020202020204" pitchFamily="34" charset="0"/>
                <a:cs typeface="Arial" panose="020B0604020202020204" pitchFamily="34" charset="0"/>
              </a:rPr>
              <a:t>Tadawul Weekly Index Performance</a:t>
            </a:r>
            <a:r>
              <a:rPr lang="en-US" sz="1200" b="0" i="0" baseline="0">
                <a:solidFill>
                  <a:sysClr val="windowText" lastClr="000000"/>
                </a:solidFill>
                <a:latin typeface="Arial" panose="020B0604020202020204" pitchFamily="34" charset="0"/>
                <a:cs typeface="Arial" panose="020B0604020202020204" pitchFamily="34" charset="0"/>
              </a:rPr>
              <a:t> -  April 17, 2020</a:t>
            </a:r>
          </a:p>
        </c:rich>
      </c:tx>
      <c:layout>
        <c:manualLayout>
          <c:xMode val="edge"/>
          <c:yMode val="edge"/>
          <c:x val="0.20223517733360252"/>
          <c:y val="9.043788692930358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8620558722253246E-2"/>
          <c:y val="0.11020531129113059"/>
          <c:w val="0.90565310798957199"/>
          <c:h val="0.4792574307734167"/>
        </c:manualLayout>
      </c:layout>
      <c:barChart>
        <c:barDir val="col"/>
        <c:grouping val="clustered"/>
        <c:varyColors val="0"/>
        <c:ser>
          <c:idx val="0"/>
          <c:order val="0"/>
          <c:spPr>
            <a:solidFill>
              <a:schemeClr val="accent1">
                <a:lumMod val="60000"/>
                <a:lumOff val="40000"/>
              </a:schemeClr>
            </a:solidFill>
            <a:ln>
              <a:noFill/>
            </a:ln>
            <a:effectLst/>
          </c:spPr>
          <c:invertIfNegative val="0"/>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2-0FB6-44B2-88E7-D927A0BCD68B}"/>
              </c:ext>
            </c:extLst>
          </c:dPt>
          <c:dPt>
            <c:idx val="8"/>
            <c:invertIfNegative val="0"/>
            <c:bubble3D val="0"/>
            <c:spPr>
              <a:solidFill>
                <a:schemeClr val="accent5">
                  <a:lumMod val="50000"/>
                </a:schemeClr>
              </a:solidFill>
              <a:ln>
                <a:noFill/>
              </a:ln>
              <a:effectLst/>
            </c:spPr>
            <c:extLst>
              <c:ext xmlns:c16="http://schemas.microsoft.com/office/drawing/2014/chart" uri="{C3380CC4-5D6E-409C-BE32-E72D297353CC}">
                <c16:uniqueId val="{00000001-0FB6-44B2-88E7-D927A0BCD68B}"/>
              </c:ext>
            </c:extLst>
          </c:dPt>
          <c:dLbls>
            <c:spPr>
              <a:noFill/>
              <a:ln>
                <a:noFill/>
              </a:ln>
              <a:effectLst/>
            </c:spPr>
            <c:txPr>
              <a:bodyPr rot="0" spcFirstLastPara="1" vertOverflow="ellipsis" vert="horz" wrap="square" lIns="38100" tIns="19050" rIns="38100" bIns="19050" anchor="ctr" anchorCtr="1">
                <a:spAutoFit/>
              </a:bodyPr>
              <a:lstStyle/>
              <a:p>
                <a:pPr>
                  <a:defRPr sz="5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'Close Historical'!$A$7:$A$29</c:f>
              <c:strCache>
                <c:ptCount val="23"/>
                <c:pt idx="0">
                  <c:v>Commercial &amp; Professional Svc</c:v>
                </c:pt>
                <c:pt idx="1">
                  <c:v>Banks</c:v>
                </c:pt>
                <c:pt idx="2">
                  <c:v>Media and Entertainment</c:v>
                </c:pt>
                <c:pt idx="3">
                  <c:v>Utilities</c:v>
                </c:pt>
                <c:pt idx="4">
                  <c:v>MSCI Tadawul 30</c:v>
                </c:pt>
                <c:pt idx="5">
                  <c:v>Materials</c:v>
                </c:pt>
                <c:pt idx="6">
                  <c:v>Energy</c:v>
                </c:pt>
                <c:pt idx="7">
                  <c:v>Capital Goods</c:v>
                </c:pt>
                <c:pt idx="8">
                  <c:v>TASI</c:v>
                </c:pt>
                <c:pt idx="9">
                  <c:v>Consumer Services</c:v>
                </c:pt>
                <c:pt idx="10">
                  <c:v>Diversified Financials </c:v>
                </c:pt>
                <c:pt idx="11">
                  <c:v>Consumer Durables &amp; Apparel</c:v>
                </c:pt>
                <c:pt idx="12">
                  <c:v>Health Care Equipment &amp; Svc</c:v>
                </c:pt>
                <c:pt idx="13">
                  <c:v>Real Estate Mgmt &amp; Dev't</c:v>
                </c:pt>
                <c:pt idx="14">
                  <c:v>Food &amp; Beverages</c:v>
                </c:pt>
                <c:pt idx="15">
                  <c:v>Insurance </c:v>
                </c:pt>
                <c:pt idx="16">
                  <c:v>Telecommunication Services</c:v>
                </c:pt>
                <c:pt idx="17">
                  <c:v>Retailing</c:v>
                </c:pt>
                <c:pt idx="18">
                  <c:v>Food &amp; Staples Retailing</c:v>
                </c:pt>
                <c:pt idx="19">
                  <c:v>Transportation</c:v>
                </c:pt>
                <c:pt idx="20">
                  <c:v>Pharma, Biotech &amp; Life Science</c:v>
                </c:pt>
                <c:pt idx="21">
                  <c:v>REITs</c:v>
                </c:pt>
                <c:pt idx="22">
                  <c:v>Software &amp; Services</c:v>
                </c:pt>
              </c:strCache>
            </c:strRef>
          </c:cat>
          <c:val>
            <c:numRef>
              <c:f>'Close Historical'!$DH$7:$DH$29</c:f>
              <c:numCache>
                <c:formatCode>0.00%</c:formatCode>
                <c:ptCount val="23"/>
                <c:pt idx="0">
                  <c:v>-6.9787544290373579E-2</c:v>
                </c:pt>
                <c:pt idx="1">
                  <c:v>-6.8664242900036199E-2</c:v>
                </c:pt>
                <c:pt idx="2">
                  <c:v>-6.8452135479875789E-2</c:v>
                </c:pt>
                <c:pt idx="3">
                  <c:v>-6.2615771197416029E-2</c:v>
                </c:pt>
                <c:pt idx="4">
                  <c:v>-5.9292624251420456E-2</c:v>
                </c:pt>
                <c:pt idx="5">
                  <c:v>-5.8334194239131415E-2</c:v>
                </c:pt>
                <c:pt idx="6">
                  <c:v>-5.7709694653351483E-2</c:v>
                </c:pt>
                <c:pt idx="7">
                  <c:v>-5.6470285567275527E-2</c:v>
                </c:pt>
                <c:pt idx="8">
                  <c:v>-5.3459487542533539E-2</c:v>
                </c:pt>
                <c:pt idx="9">
                  <c:v>-4.9336665137205853E-2</c:v>
                </c:pt>
                <c:pt idx="10">
                  <c:v>-4.1056766667926861E-2</c:v>
                </c:pt>
                <c:pt idx="11">
                  <c:v>-3.873046063999367E-2</c:v>
                </c:pt>
                <c:pt idx="12">
                  <c:v>-3.6781864651628034E-2</c:v>
                </c:pt>
                <c:pt idx="13">
                  <c:v>-3.0980909597065214E-2</c:v>
                </c:pt>
                <c:pt idx="14">
                  <c:v>-2.8180636818586881E-2</c:v>
                </c:pt>
                <c:pt idx="15">
                  <c:v>-2.6313424170357005E-2</c:v>
                </c:pt>
                <c:pt idx="16">
                  <c:v>-2.588665048302553E-2</c:v>
                </c:pt>
                <c:pt idx="17">
                  <c:v>-2.3972267253174976E-2</c:v>
                </c:pt>
                <c:pt idx="18">
                  <c:v>-2.2016634554651474E-2</c:v>
                </c:pt>
                <c:pt idx="19">
                  <c:v>-1.6680103416641185E-2</c:v>
                </c:pt>
                <c:pt idx="20">
                  <c:v>-1.5094220889921163E-2</c:v>
                </c:pt>
                <c:pt idx="21">
                  <c:v>-1.0746317334347982E-2</c:v>
                </c:pt>
                <c:pt idx="22">
                  <c:v>9.6580722970109875E-2</c:v>
                </c:pt>
              </c:numCache>
            </c:numRef>
          </c:val>
          <c:extLst>
            <c:ext xmlns:c16="http://schemas.microsoft.com/office/drawing/2014/chart" uri="{C3380CC4-5D6E-409C-BE32-E72D297353CC}">
              <c16:uniqueId val="{00000000-0FB6-44B2-88E7-D927A0BCD68B}"/>
            </c:ext>
          </c:extLst>
        </c:ser>
        <c:dLbls>
          <c:dLblPos val="outEnd"/>
          <c:showLegendKey val="0"/>
          <c:showVal val="1"/>
          <c:showCatName val="0"/>
          <c:showSerName val="0"/>
          <c:showPercent val="0"/>
          <c:showBubbleSize val="0"/>
        </c:dLbls>
        <c:gapWidth val="106"/>
        <c:overlap val="-27"/>
        <c:axId val="58866304"/>
        <c:axId val="68062208"/>
      </c:barChart>
      <c:catAx>
        <c:axId val="588663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3600000" spcFirstLastPara="1" vertOverflow="ellipsis" wrap="square" anchor="t"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062208"/>
        <c:crosses val="autoZero"/>
        <c:auto val="1"/>
        <c:lblAlgn val="ctr"/>
        <c:lblOffset val="150"/>
        <c:noMultiLvlLbl val="0"/>
      </c:catAx>
      <c:valAx>
        <c:axId val="68062208"/>
        <c:scaling>
          <c:orientation val="minMax"/>
        </c:scaling>
        <c:delete val="1"/>
        <c:axPos val="l"/>
        <c:numFmt formatCode="0.00%" sourceLinked="1"/>
        <c:majorTickMark val="none"/>
        <c:minorTickMark val="none"/>
        <c:tickLblPos val="nextTo"/>
        <c:crossAx val="58866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0.02072</cdr:x>
      <cdr:y>0.94082</cdr:y>
    </cdr:from>
    <cdr:to>
      <cdr:x>0.41335</cdr:x>
      <cdr:y>1</cdr:y>
    </cdr:to>
    <cdr:sp macro="" textlink="">
      <cdr:nvSpPr>
        <cdr:cNvPr id="2" name="TextBox 1"/>
        <cdr:cNvSpPr txBox="1"/>
      </cdr:nvSpPr>
      <cdr:spPr>
        <a:xfrm xmlns:a="http://schemas.openxmlformats.org/drawingml/2006/main">
          <a:off x="169956" y="5248767"/>
          <a:ext cx="3220942" cy="3301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i="0">
              <a:latin typeface="Arial" panose="020B0604020202020204" pitchFamily="34" charset="0"/>
              <a:cs typeface="Arial" panose="020B0604020202020204" pitchFamily="34" charset="0"/>
            </a:rPr>
            <a:t>Source: Tadawul,</a:t>
          </a:r>
          <a:r>
            <a:rPr lang="en-US" sz="700" i="0" baseline="0">
              <a:latin typeface="Arial" panose="020B0604020202020204" pitchFamily="34" charset="0"/>
              <a:cs typeface="Arial" panose="020B0604020202020204" pitchFamily="34" charset="0"/>
            </a:rPr>
            <a:t> USSBC</a:t>
          </a:r>
          <a:endParaRPr lang="en-US" sz="700" i="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5</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 Ghannouchi</dc:creator>
  <cp:keywords/>
  <dc:description/>
  <cp:lastModifiedBy>Jacob Dichter</cp:lastModifiedBy>
  <cp:revision>81</cp:revision>
  <dcterms:created xsi:type="dcterms:W3CDTF">2020-04-13T21:17:00Z</dcterms:created>
  <dcterms:modified xsi:type="dcterms:W3CDTF">2020-04-20T21:50:00Z</dcterms:modified>
</cp:coreProperties>
</file>